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67"/>
        <w:ind w:left="5669" w:right="0" w:firstLine="0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УТВЕРЖДЕНО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left="5669" w:right="0" w:firstLine="0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приказом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Министерства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left="5669" w:right="0" w:firstLine="0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left="5669" w:right="0" w:firstLine="0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от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__________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202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5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года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№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____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left="5669" w:right="0" w:firstLine="0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(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приложение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left="5954"/>
        <w:spacing w:after="0" w:line="240" w:lineRule="auto"/>
        <w:tabs>
          <w:tab w:val="left" w:pos="5812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Инструкция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руководителя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пункта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экзаменов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итоговой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аттестации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образовательным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программам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среднего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общего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форме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единого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территории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both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3"/>
        </w:numPr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Общие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положения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"/>
        </w:numPr>
        <w:ind w:left="0" w:firstLine="720"/>
        <w:jc w:val="both"/>
        <w:spacing w:after="0" w:line="240" w:lineRule="auto"/>
        <w:tabs>
          <w:tab w:val="num" w:pos="0" w:leader="none"/>
          <w:tab w:val="clear" w:pos="19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Руководитель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пункта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экзаменов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итоговой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аттестации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образовательным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программам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среднего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общ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территории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соответственно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ППЭ,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ГИА)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своей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деятельности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руководствуется: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Порядком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итоговой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аттестации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образовательным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программам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среднего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общего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утвержденным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приказом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Министерства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просвещения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Российской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Федерации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Федеральной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службы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надзору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сфере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науки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4 апреля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20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23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года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№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233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/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55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Порядок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ГИА);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нормат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ивными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правовыми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актами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вопросам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организации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ГИА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настоящей инструкцией.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"/>
        </w:numPr>
        <w:ind w:left="0" w:firstLine="720"/>
        <w:jc w:val="both"/>
        <w:spacing w:after="0" w:line="240" w:lineRule="auto"/>
        <w:tabs>
          <w:tab w:val="num" w:pos="0" w:leader="none"/>
          <w:tab w:val="clear" w:pos="19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Кандидатура р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уководител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представлению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Министерства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Министерство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согласуется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председателем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экзаменационной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комиссией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ю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итоговой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аттестации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образовательным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программам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среднего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общего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ГЭК).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"/>
        </w:numPr>
        <w:ind w:left="0" w:firstLine="720"/>
        <w:jc w:val="both"/>
        <w:spacing w:after="0" w:line="240" w:lineRule="auto"/>
        <w:tabs>
          <w:tab w:val="num" w:pos="0" w:leader="none"/>
          <w:tab w:val="clear" w:pos="19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Руководители ППЭ должны пройти соответствующую подготовку, организуемую Министерством образования области.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"/>
        </w:numPr>
        <w:ind w:left="0" w:firstLine="720"/>
        <w:jc w:val="both"/>
        <w:spacing w:after="0" w:line="240" w:lineRule="auto"/>
        <w:tabs>
          <w:tab w:val="num" w:pos="0" w:leader="none"/>
          <w:tab w:val="clear" w:pos="19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не допускается привлекать в качестве руководителей ППЭ близких родственников</w:t>
      </w:r>
      <w:r>
        <w:rPr>
          <w:rStyle w:val="1191"/>
          <w:rFonts w:ascii="Tinos" w:hAnsi="Tinos" w:eastAsia="Tinos" w:cs="Tinos"/>
          <w:sz w:val="28"/>
          <w:szCs w:val="28"/>
          <w:highlight w:val="none"/>
        </w:rPr>
        <w:footnoteReference w:id="2"/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а также супругов, усынови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 (за исключением ППЭ, организованных в учреждениях уголовно-исполнительной системы).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"/>
        </w:numPr>
        <w:ind w:left="0" w:firstLine="720"/>
        <w:jc w:val="both"/>
        <w:spacing w:after="0" w:line="240" w:lineRule="auto"/>
        <w:tabs>
          <w:tab w:val="num" w:pos="0" w:leader="none"/>
          <w:tab w:val="clear" w:pos="19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Руководитель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должен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заблаговременно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пройти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инструктаж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порядку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процедуре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ГИА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ознакомиться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а) нормативными правовыми актами, регламентирующими проведение экзаменов;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б) инструкцией, определяющей порядок работы руководителя ППЭ, а также инструкциями, определяющими порядок работы работников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в) правилами оформления ведомостей, протоколов и актов, заполняемых при проведении экзаменов в аудиториях,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Руководитель ППЭ информируется под 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дпись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720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3"/>
        </w:numPr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Подготовка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ind w:left="0" w:firstLine="720"/>
        <w:jc w:val="both"/>
        <w:spacing w:after="0" w:line="240" w:lineRule="auto"/>
        <w:tabs>
          <w:tab w:val="num" w:pos="0" w:leader="none"/>
          <w:tab w:val="clear" w:pos="72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совместно с руководителем организации должны обеспечить готовность ППЭ к проведению ЕГЭ в соответствии с требованиями к ППЭ, изложенными в пункте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Положения о пункте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  <w:br w:type="textWrapping" w:clear="all"/>
        <w:t xml:space="preserve">(далее – Положение о ППЭ)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утвержденного настоящим приказом, в том числе техническое оснащение в соответствии с пунктом 4 Положения о ППЭ, утвержденного настоящим приказом, и хранение основного и резервного флеш-накопителя для хранения интернет-п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акетов в сейфе в выделенном в ППЭ помещение, в котором осуществляется безопасное хранение экзаменационных материалов (далее – ЭМ), оборудованное телефонной связью, принтером и компьютером (далее – Штаб ППЭ) с осуществлением мер информационной безопасности.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Также необходимо подготовить не менее 1 флеш-накопителя для переноса данных между станциями в ППЭ (рекомендуемое количество – по числу технических специалистов ППЭ плюс не менее одного резервного).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ind w:left="0" w:firstLine="720"/>
        <w:jc w:val="both"/>
        <w:spacing w:after="0" w:line="240" w:lineRule="auto"/>
        <w:tabs>
          <w:tab w:val="num" w:pos="0" w:leader="none"/>
          <w:tab w:val="clear" w:pos="72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обязан контролировать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Интернет-пакеты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распределенных по ППЭ участниках и аудиторном фонде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ind w:left="0" w:firstLine="720"/>
        <w:jc w:val="both"/>
        <w:spacing w:after="0" w:line="240" w:lineRule="auto"/>
        <w:tabs>
          <w:tab w:val="num" w:pos="0" w:leader="none"/>
          <w:tab w:val="clear" w:pos="72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позднее чем за один календарный день до проведения экзамена руководитель ППЭ совместно с руководителем организации, на базе которой организован ППЭ, должен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наличие и готовность помещений и аудиторий, необходимых </w:t>
        <w:br/>
        <w:t xml:space="preserve">для проведения экзаменов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, в том числе аудиторий для участников экзаменов с ограниченными возможностями здоровья (далее – ОВЗ) участников </w:t>
        <w:br/>
        <w:t xml:space="preserve">экзаменов – детей-инвалидов и инвалидов, учитывающих состояние </w:t>
        <w:br/>
        <w:t xml:space="preserve">их здоровья, особенности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психофизического развития и индивидуальных возможностей</w:t>
      </w:r>
      <w:r>
        <w:rPr>
          <w:rStyle w:val="1191"/>
          <w:rFonts w:ascii="Tinos" w:hAnsi="Tinos" w:eastAsia="Tinos" w:cs="Tinos"/>
          <w:color w:val="000000"/>
          <w:sz w:val="28"/>
          <w:szCs w:val="28"/>
          <w:highlight w:val="none"/>
        </w:rPr>
        <w:footnoteReference w:id="3"/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ровери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ть готовность необходимого оборудования для участников экзаменов с ОВЗ, участников экзаменов – детей-инвалидов и инвалидов;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готовность рабочих мест (столы, стулья) для организаторов вне аудитории, обеспечивающих вход участников экзаменов, сотрудников, осуществляющих охрану правопорядка;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готовность рабочих мест для организаторов в аудитории и общественных наблюдателей;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аудитории для проведения экзаменов заметным обозначением их номеров и наименований помещений, используемых для проведения экзамена;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каждое рабочее место участника экзамена в аудитории заметным обозначением его номера;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специаль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но выделенное место в каждой аудитории (стол), находящееся в зоне видимости камер видеонаблюдения, для оформления соответствующих форм ППЭ, осуществления раскладки напечатанных ЭМ и последующей упаковки организаторами ЭМ, собранных у участников экзаменов;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95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помещения ППЭ, в том числе аудитории, заметным обозначением о ведении видеонаблюдения;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95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провести проверку работоспособности средств видеонаблюдения в ППЭ с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овместно с техническим специалистом;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</w:p>
    <w:p>
      <w:pPr>
        <w:pStyle w:val="1195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Tinos" w:hAnsi="Tinos" w:eastAsia="Tinos" w:cs="Tinos"/>
          <w:color w:val="000000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настройки металлоискателей (стационарных и (или) ручных),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расположенных у входа в ППЭ, в том числе обеспечить проверку настроенных параметров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металлоискателей</w:t>
      </w:r>
      <w:r>
        <w:rPr>
          <w:rStyle w:val="1153"/>
          <w:rFonts w:ascii="Tinos" w:hAnsi="Tinos" w:eastAsia="Tinos" w:cs="Tinos"/>
          <w:color w:val="000000"/>
          <w:sz w:val="28"/>
          <w:szCs w:val="28"/>
          <w:highlight w:val="none"/>
        </w:rPr>
        <w:footnoteReference w:id="4"/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;</w:t>
      </w:r>
      <w:r>
        <w:rPr>
          <w:rFonts w:ascii="Tinos" w:hAnsi="Tinos" w:eastAsia="Tinos" w:cs="Tinos"/>
          <w:color w:val="000000"/>
          <w:highlight w:val="none"/>
          <w14:ligatures w14:val="none"/>
        </w:rPr>
      </w:r>
      <w:r>
        <w:rPr>
          <w:rFonts w:ascii="Tinos" w:hAnsi="Tinos" w:eastAsia="Tinos" w:cs="Tinos"/>
          <w:color w:val="000000"/>
          <w:highlight w:val="none"/>
          <w14:ligatures w14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каждую аудиторию настроенными на точное время часами, находящимися в поле зрения участников экзаменов;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закрыть или убрать в аудиториях стенды, плакаты и иные материалы со справочно-познавательной информацией;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запереть и опечатать помещения, не использующиеся для проведения экзамена в день проведения экзамена;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пожарные выходы, наличие средств первичного пожаротушения;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до входа в ППЭ наличие отдельного места (помещения) для хранения личных вещей участников экзаменов;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до входа в ППЭ наличие отдельного места (помещения) для хранения личных вещей организаторов, медицинского работника, экзаменаторов-собеседников, ассистентов, аккредитованных представителей СМИ;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до входа в ППЭ наличие помещения для сопровождающих;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организовать в Штабе ППЭ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ических специалистов, общественных наблюдателей, должностных лиц Рособрнадзора, а также иных лиц, определенных Рособрнадзором, должностных лиц Министерства образования области, осуществляющих переданные полномочия Российской Федерации в сфере образования;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организовать в Штабе ППЭ место для руководителя организации, в помещениях которой организован ППЭ, или уполномоченного им лица;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обеспечить в ППЭ наличие помещения для медицинского работника, которое изолируется от аудиторий, используемых для проведения экзаменов;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журнал учета участников экзаменов, обратившихся к медицинскому работнику;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Штаб ППЭ в соответствии с требованиями, изложенным в пункте 3 Положения о ППЭ, утвержденного настоящим приказом;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проверить работоспособность технических средств, планируемых к использованию во время проведения экзамена, в том числе аппаратно-программного комплекса для печати и сканирования ЭМ, расположенного в зоне видимости камер в каждой аудитории;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предусмотреть место для проведения инструктажа работников ППЭ внутри ППЭ, например, это может быть одна из аудиторий, холл, Штаб ППЭ;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черновики на каждого участника экзамена (минимальное количество – два листа на одного участника), а также дополнительные черновики;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достаточное количество бумаги для печати полного комплекта ЭМ в аудиториях;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достаточное количество бумаги для печати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дополнительных бланков ответов № 2 (далее –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в Штабе ППЭ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конверты для упаковки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а)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использованных черновиков (по одному конверту на аудиторию)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б)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бланков регистрации и бланков ответов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участников экзаменов (по одному конверту на аудиторию),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в) контрольных измерительных материалов (далее – КИМ) и контрольных листов (по одному конверту на аудиторию),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г) испорченных (бракованных) ЭМ (по одному конверту на аудиторию)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0"/>
          <w:numId w:val="14"/>
        </w:numPr>
        <w:contextualSpacing/>
        <w:ind w:left="0" w:firstLine="709"/>
        <w:jc w:val="both"/>
        <w:spacing w:line="240" w:lineRule="auto"/>
        <w:tabs>
          <w:tab w:val="num" w:pos="180" w:leader="none"/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подготовить в необходимом количестве инструкции для участников экзамена, зачитываемые организаторами в аудитории перед началом экзамена (одна инструкция на одну аудиторию).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contextualSpacing/>
        <w:ind w:left="0" w:firstLine="720"/>
        <w:jc w:val="both"/>
        <w:spacing w:line="240" w:lineRule="auto"/>
        <w:tabs>
          <w:tab w:val="num" w:pos="0" w:leader="none"/>
          <w:tab w:val="clear" w:pos="72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Не ранее чем за 5 календарных дней, но не позднее 16 часов 00 минут календарного дня, предшествующего дню экзамена, и до проведения контроля технической готовности, обеспечить проведение техническим специалистом технической подготовки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contextualSpacing/>
        <w:ind w:left="0" w:firstLine="720"/>
        <w:jc w:val="both"/>
        <w:spacing w:line="240" w:lineRule="auto"/>
        <w:tabs>
          <w:tab w:val="num" w:pos="0" w:leader="none"/>
          <w:tab w:val="clear" w:pos="72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Не ранее чем за 2 рабочих дня, но не позднее 16 часов 00 минут календарного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дня, предшествующего дню экзамена, совместно с членом ГЭК и техническим специалистом провести контроль технической готовности ППЭ (подробнее сроки проведения этапов подготовки и проведения экзамена описаны в приложении к инструкции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технического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специалиста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пункте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проведения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экзаменов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проведении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государственной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итоговой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аттестации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образовательным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программам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среднего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образования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территории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Вологодской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утвержденной настоящим приказом), в том числе: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обеспечить распечатку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(за исключением проведения ЕГЭ по математике базового уровня) в Штабе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получить от технического специалиста тестовой страницы границ печати, которая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отражает качество настройки принтера станции организатора, а также используется при настройке сканера для перевода в электронный вид бланков, распечатанных на этой станции организатора (далее – калибровочные листы) для передачи организат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орам в аудитории;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проконтролировать передачу в систему мониторинга готовности ППЭ в личном кабинете ППЭ: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а) электронных актов технической готовности со всех основных и резервных станций организатора и станций Штаба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б) акта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с основной станции Штаба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в) статуса «Контроль технической готовности завершен».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Важно! Акты основных станций могут быть переданы только при условии наличия на специализированном федеральном портале сведений о рассадке. Статус «Ко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Важно! Акт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достаточно передать один раз для регистрации соответствующей станции Штаба ППЭ для печати ДБО№2. Новый акт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необходимо сохранить и передать в случае замены ранее использовавшейся для печати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станции Штаба ППЭ. Сроки передачи акта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ограничены.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contextualSpacing/>
        <w:ind w:left="0" w:firstLine="720"/>
        <w:jc w:val="both"/>
        <w:spacing w:line="240" w:lineRule="auto"/>
        <w:tabs>
          <w:tab w:val="num" w:pos="0" w:leader="none"/>
          <w:tab w:val="clear" w:pos="72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Заполнить форму ППЭ-01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5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совместно с руководителем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организации, на базе которой организован ППЭ (сканкопия акта передается в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региональный центр обработки информации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Вологодской области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(далее – РЦОИ) по электронной почте на адрес 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orgmetod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@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edu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35.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ru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строго за сутки до начала экзамена)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contextualSpacing/>
        <w:ind w:left="0" w:firstLine="720"/>
        <w:jc w:val="both"/>
        <w:spacing w:line="240" w:lineRule="auto"/>
        <w:tabs>
          <w:tab w:val="num" w:pos="0" w:leader="none"/>
          <w:tab w:val="clear" w:pos="72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Заблаговременно провести инструктаж под подпись со всеми работниками ППЭ по порядку и процедуре проведения ЕГЭ и ознакомить: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6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нормативными правовыми документами, регламентирующими проведение экзаменов;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6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инструкциями, определяющими порядок работы организаторов и других лиц, привлекаемых к проведению ЕГЭ в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6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правилами заполнения бланков ЕГЭ;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6"/>
        </w:numPr>
        <w:contextualSpacing/>
        <w:ind w:left="0"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правилами оформления ведомостей, протоколов и актов, заполняемых при проведении ЕГЭ.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передает сканкопию ведомости ознакомления работников ППЭ с нормативными правовыми документами и инструктивными материалами ГИА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(приложение 1 к настоящей Инструкции)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РЦОИ на электронный адрес 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orgmetod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@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edu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35.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ru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3"/>
        </w:numPr>
        <w:contextualSpacing/>
        <w:ind w:left="0" w:firstLine="720"/>
        <w:jc w:val="both"/>
        <w:spacing w:line="240" w:lineRule="auto"/>
        <w:tabs>
          <w:tab w:val="num" w:pos="0" w:leader="none"/>
          <w:tab w:val="clear" w:pos="72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назначает одного из технических специалистов (в случае наличия в ППЭ нескольких технических специалистов) ответственным за включение видеонаблюдения в день проведения экзамена.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3"/>
        </w:numPr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720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необходимо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помнить,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что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проводится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спокойной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доброжелательной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обстановке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день проведения экзамена в ППЭ руководителю ППЭ запрещается: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выносить из аудиторий и ППЭ черновики, ЭМ на бумажном и (или) электронном носителях;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фотографировать ЭМ, черновики;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г) покидать ППЭ в день проведения экзамена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6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(до окончания процедур, предусмотренных Порядком);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20"/>
        <w:jc w:val="both"/>
        <w:spacing w:after="0" w:line="240" w:lineRule="auto"/>
        <w:tabs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7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несет персональную ответственность за соблюдение мер информационной безопасности и исполнение Порядка проведения ГИА-11 на всех этапах проведения экзамена в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день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должен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явиться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br w:type="textWrapping" w:clear="all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позднее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7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часов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30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Оставить все свои личные вещи в месте для хранения личных вещей, организованном в Штабе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начала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должен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назначить ответственного за регистрацию лиц в соответствии с формой </w:t>
        <w:br w:type="textWrapping" w:clear="all"/>
        <w:t xml:space="preserve">ППЭ-07 из числа организаторов вне аудитории;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обеспечить контроль за регистрацией лиц в день экзамена (в случае неявки распределенных в данный ППЭ работников ППЭ произвести замену работников ППЭ по форме ППЭ-19);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 позднее 7 часов 30 минут, но до получения ЭМ обеспечить включение в Штабе ППЭ режима видеонаблюдения, записи, трансляции.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позднее 7 часов 30 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дать поручение техническому специалисту получить и распечатать в присутствии члена ГЭК пакет руководителя ППЭ – в случае использования электронной версии пакета руководителя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дать распоряжение техническим специалистам, отвечающим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 организацию видеонаблюдения в ППЭ, о начале видеонаблюдения (в Штабе ППЭ до получения материалов для проведения экзамена, в аудиториях ППЭ не позднее 08:00 по местному времени), о сверке часов во всех аудиториях ППЭ;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убедиться в сохранении корректности настроек стационарных и (или) перенос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аллоискателей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afterAutospacing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ранее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8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часов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15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начать проведение инструктажа по процедуре проведения экзамена для работников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соответствии с Инструкцией для организаторов, зачитываемой руководителем ППЭ, перед началом экзамена (кроме КЕГЭ и ЕГЭ по иностранным языкам (устная часть)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(приложение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настоящему приказу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назначить организаторов вне аудитории по местам их распределения в ППЭ, выдать организатору вне аудитории формы ППЭ-06-01 и ППЭ-06-02 для размещения на информационном стенде при входе в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назначить ответственного организатора в каждой аудитории в соответствии со списком распределения организаторов по аудиториям (форма ППЭ-07);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ыдать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ответственным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организаторам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аудитории: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ППЭ-05-01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размещения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входе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аудиторию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pacing w:val="-4"/>
          <w:sz w:val="28"/>
          <w:szCs w:val="28"/>
          <w:highlight w:val="none"/>
        </w:rPr>
      </w:pP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форму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ППЭ-05-02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spacing w:val="-4"/>
          <w:sz w:val="28"/>
          <w:szCs w:val="28"/>
          <w:highlight w:val="none"/>
        </w:rPr>
      </w:r>
      <w:r>
        <w:rPr>
          <w:rFonts w:ascii="Tinos" w:hAnsi="Tinos" w:cs="Tinos"/>
          <w:spacing w:val="-4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pacing w:val="-4"/>
          <w:sz w:val="28"/>
          <w:szCs w:val="28"/>
          <w:highlight w:val="none"/>
        </w:rPr>
      </w:pP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форму ППЭ-11 для кон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вертов с бланками регистрации и бланками ответов, КИМ 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и испорченными (бракованными) ЭМ;</w:t>
      </w:r>
      <w:r>
        <w:rPr>
          <w:rFonts w:ascii="Tinos" w:hAnsi="Tinos" w:cs="Tinos"/>
          <w:spacing w:val="-4"/>
          <w:sz w:val="28"/>
          <w:szCs w:val="28"/>
          <w:highlight w:val="none"/>
        </w:rPr>
      </w:r>
      <w:r>
        <w:rPr>
          <w:rFonts w:ascii="Tinos" w:hAnsi="Tinos" w:cs="Tinos"/>
          <w:spacing w:val="-4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pacing w:val="-4"/>
          <w:sz w:val="28"/>
          <w:szCs w:val="28"/>
          <w:highlight w:val="none"/>
        </w:rPr>
      </w:pP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форму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ППЭ-11-01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использованными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черновиками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настоящей инструкции)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spacing w:val="-4"/>
          <w:sz w:val="28"/>
          <w:szCs w:val="28"/>
          <w:highlight w:val="none"/>
        </w:rPr>
      </w:r>
      <w:r>
        <w:rPr>
          <w:rFonts w:ascii="Tinos" w:hAnsi="Tinos" w:cs="Tinos"/>
          <w:spacing w:val="-4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ППЭ-12-02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ППЭ-12-03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ППЭ-12-04-МАШ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ППЭ-16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инструкцию для участник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ов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 экзамена, зачитываемую организатором в аудитории перед началом экзамена с использованием технологии печати полного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комплекта ЭМ в аудиториях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(одна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аудиторию)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настоящему приказу)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таблички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номерами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торий;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калибровочный лист аудитории станции организатора соответствующей аудитории;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9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черновики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(минимальное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количество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черновиков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два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одного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участника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упаковки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использованных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черновиков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(один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аудиторию);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упаковки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бланков регистрации и бланков ответов участников экзаменов (од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ин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конверт на аудиторию),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упаковки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КИМ и контрольных листов (один конверт на аудиторию),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contextualSpacing/>
        <w:ind w:firstLine="720"/>
        <w:jc w:val="both"/>
        <w:spacing w:line="240" w:lineRule="auto"/>
        <w:tabs>
          <w:tab w:val="left" w:pos="993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упаковки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испорченных (бракованных) ЭМ (один конверт на аудиторию)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запланировать необходимое количество листов формы ППЭ-12-04-МАШ на аудиторию и продумать схему передачи в аудитории дополнительных листов формы ППЭ-12-04-МАШ (например,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аудитории). Общее количество листов формы ППЭ-12-04-МАШ на ППЭ определяется в РЦОИ при форми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ровании пакета руководителя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ередать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медицинскому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работнику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медицинского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работника,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привлекаемого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дни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журнал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учета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обратившихся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медицинскому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работнику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(приложение 8 к настоящему приказу)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обеспечить допуск: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представителей СМИ при наличии у них документов, удостоверяющих личность и подтверждающих их полномочия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8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общественных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 (выдать общественным наблюдателям форму общественного наблюдения за проведением экзамена в ППЭ);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должностных лиц Рособрнадзора, иных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лиц, определенных Рособрнадзором, а также должностных лиц Министерства образования области, осуществляющих переданные полномочия Российской Федерации в сфере образования, при наличии у них документов, удостоверяющих личность и подтверждающих их полномочия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ранее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9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часов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00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обеспечить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допуск: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участников экзамена при наличии у них документов, удостоверяющих личность, и при наличии их в списках распределения в данный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сопровождающих (присутствуют в день экзамена в помещении, которое организуется до входа в ППЭ).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у участника ГИА документа, удостоверяющего личность, при наличии его в списках распределения в данный ППЭ он допускается в ППЭ после подтверждения его личности сопровождающим (форма ППЭ-20).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документа, удостоверяющего личность, у участника ЕГЭ (выпускника прошлых лет) он не допускается в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отсутствии участника экзамена в списках распределения в данный ППЭ, участник экзамена в ППЭ не допускается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9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отказа участника экзамена от сдачи запрещенного средства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10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– приглашает члена ГЭК для составления акт о недопуске указанного участника экзамена в ППЭ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11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позднее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9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часов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45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минут</w:t>
      </w: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выдать в Штабе ППЭ ответственным организаторам в аудиториях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по форме ППЭ-14-02.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выявления организатором в аудитории расхождения персональных данных участника экзамена в документе, удостоверяющем личность, и в форме ППЭ-05-02, и данн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ое расхождение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участник экзамена опоздал на экзамен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12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– он допускается в ППЭ к сдаче экзамена, при этом время окончания экзамена, зафиксированное на доске (информационном стенде) организаторами, не продлевается, инструктаж, проводимый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организаторами, не проводится (за исключением, когда в аудитории нет других участников экзаменов), о чем сообщается участнику экзамена. Рекомендуется составить акт в свободной форме. Указанный акт подписывает участник экзамена, руководитель ППЭ и член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в течение двух часов от начала экзамена ни один из участников экзаменов, распределенных в ППЭ и (или) отдельные аудитории ППЭ, не явился в ППЭ (отдельные аудитории ППЭ)</w:t>
      </w:r>
      <w:r>
        <w:rPr>
          <w:rStyle w:val="119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13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– сообщить об этому члену ГЭК,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который по согласованию с председателем ГЭК принимает решение об остановке экзамена в ППЭ или отдельных аудиториях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нарушения требований Порядка</w:t>
      </w:r>
      <w:r>
        <w:rPr>
          <w:rStyle w:val="1153"/>
          <w:rFonts w:ascii="Tinos" w:hAnsi="Tinos" w:eastAsia="Tinos" w:cs="Tinos"/>
          <w:sz w:val="28"/>
          <w:szCs w:val="28"/>
          <w:highlight w:val="none"/>
          <w:lang w:eastAsia="ru-RU"/>
        </w:rPr>
        <w:footnoteReference w:id="14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 пригласить члена ГЭК, который составит акт об удалении из ППЭ и удалит лиц, нарушивших Порядок, из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совместно с членами ГЭК должен осуществлять контроль з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Порядка, в случае подачи такой апелляции участником экзамена.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«Экзамены успешно начались» в личном кабинете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возникновении ситуации нехватки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ППЭ во время экзамена обеспечить печать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необходимого их количества в присутствии члена ГЭК.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numPr>
          <w:ilvl w:val="1"/>
          <w:numId w:val="6"/>
        </w:numPr>
        <w:ind w:left="0" w:firstLine="720"/>
        <w:jc w:val="both"/>
        <w:spacing w:after="0" w:line="240" w:lineRule="auto"/>
        <w:tabs>
          <w:tab w:val="num" w:pos="0" w:leader="none"/>
          <w:tab w:val="left" w:pos="1260" w:leader="none"/>
          <w:tab w:val="clear" w:pos="1620" w:leader="none"/>
        </w:tabs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получении от организаторов из аудиторий служебных записок, содержащих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информацию о претензиях участнико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экзамена по содержанию задания КИМ, – передать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данную информацию в РЦОИ.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3"/>
        </w:numPr>
        <w:jc w:val="center"/>
        <w:spacing w:after="0" w:line="240" w:lineRule="auto"/>
        <w:tabs>
          <w:tab w:val="left" w:pos="93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Этап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завершения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завершения выполнения экзаменационной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работы (далее – ЭР)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участниками экзамена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во всех аудиториях (все участники экзамена покинули аудитории)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дать указание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техническ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специалист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 передать при участии члена ГЭК с использованием токена члена ГЭК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статус «Экзамены завершены» в систему мониторинга готовности ППЭ в личном кабинете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завершения сканировани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 в аудиториях и упаковки ЭМ руководитель ППЭ должен в Штабе ППЭ за специально подготовленным столом, находящимся в зоне видимости камер видеонаблюдения, в присутствии членов ГЭК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всех ответственных организаторов в аудитории следующие материалы: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запечатанный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бланками регистрации, бланками ответов № 1, бланками ответов № 2 (лист 1 и лист 2), в том числе с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наклеенной на него формой ППЭ-11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запечатанны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КИМ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участников экзамена и контрольными листами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 наклеенной на него формой ППЭ-11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запечатанный 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использованными черновиками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 наклеенной на него формой ППЭ-11-01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форме ППЭ-14-02: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запечатанный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 с испорченными (бракованными) комплектами ЭМ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наклеенной на него формой ППЭ-11;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калибровочный лист с каждой использованной в аудитории станции организатора;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неиспользованные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черновики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неиспользованные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 также: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ППЭ-05-01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ППЭ-05-02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ППЭ-12-04-МАШ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ППЭ-15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ППЭ-23;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служебные записки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настоящей инструкции)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(при наличии).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После завершения сканирования во всех аудиториях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при получении от ответственного организатора ЭМ из аудитории заполнить форму ППЭ-13-02-МАШ на основе данных Сопроводительного бланка к материалам ЕГЭ (форма ППЭ-11), не вскрывая конверт с бланками;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заполнить форму </w:t>
      </w:r>
      <w:r>
        <w:rPr>
          <w:rFonts w:ascii="Tinos" w:hAnsi="Tinos" w:eastAsia="Tinos" w:cs="Tinos"/>
          <w:sz w:val="28"/>
          <w:szCs w:val="28"/>
          <w:highlight w:val="none"/>
          <w:u w:val="single"/>
        </w:rPr>
        <w:t xml:space="preserve">ППЭ-14-01, ППЭ-13-01,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ППЭ-14-02;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принять у общественного (-ых) 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аблюдателя(-ей) (в случае присутствия его в ППЭ в день проведения экзамена) заполненную форму ППЭ-18-МАШ (в случае неявки общественного наблюдателя в форме ППЭ-18-МАШ поставить соответствующую отметку в разделе «Общественный наблюдатель не явился в ППЭ»);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передать техническому специалисту заполненные формы ППЭ для сканирования на станции Штаба ППЭ: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ППЭ-07;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ППЭ-13-02-МАШ;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ППЭ-18-МАШ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ППЭ-19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ППЭ-21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ППЭ-21-1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(при наличии)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(приложение 4 к настоящей Инструкции)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ППЭ-22 (при наличии).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Также передаются для сканирования материалы апелляций о нарушении Порядка (формы ППЭ-02 и ППЭ-03 (при наличии).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Следующие формы ППЭ сканируются в аудиториях на станциях организатора: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-05-02;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ППЭ-12-02 (при наличии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);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ППЭ-12-04-МАШ.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Технический специалист выполняет калибровку сканера на эталонном калибровочном листе (при необходимости), сканирует полученные формы ППЭ и возвращает их руководителю ППЭ.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Член ГЭК,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(статус пакетов принимает значение «Подтвержден»).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После получения от РЦОИ подтверждения по всем переданным пакетам: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подписать напечатанный протокол проведения процедуры сканирования (подписывается техническим специалистом, руководителем ППЭ и членом ГЭК и остается на хранение в ППЭ);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проконтролировать передачу электронных журналов работы основной и резервной станций Штаба ППЭ и статуса «Материалы переданы в РЦОИ» в систему мониторинга готовности ППЭ в личном кабинете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После сканирования всех материалов совместно с членом ГЭК еще раз пересчитать конверты (бланки ЕГЭ в тех конвертах, которые были вскрыты для сканирования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Штабе ППЭ в связи с возникновением нештатной ситуации, в этом случае перенести информацию с сопроводительных бланков конвертов, в которых бланки ЕГЭ были доставлены из аудиторий в Штаб ППЭ, в новый конверт, в новые конверты вложить калибровочные листы 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в которых бланки ЕГЭ были доставлены из аудиторий в Штаб ППЭ, и запечатать конверт с бланками ЕГЭ для х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ранения и транспортировки).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Передать материалы экзамена члену ГЭК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numPr>
          <w:ilvl w:val="1"/>
          <w:numId w:val="11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Присутствовать при упаковке членами ГЭК за специально подготовленным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столом, находящимся в зоне видимости камер видеонаблюдения, материалов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 для последующей передачи на хранение в места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определенные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Министерством образования 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в соответствии со схемой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numPr>
          <w:ilvl w:val="1"/>
          <w:numId w:val="11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Схема упаковки ЭМ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left="709" w:right="0" w:firstLine="0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Сформировать стопки с ЭМ следующим образом: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запечатанные конверты с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бланками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(по каждому учебному предмету отдельно) и заполненные формы ППЭ, упакованные в файл;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запечатанные конверты с КИМ (по каждому учебному предмету отдельно);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запечатанные конверты с испорченными (бракованными) ЭМ (при наличии) (по всем предметам, проведенным в день экзамена)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запечатанные конверты с черновиками (по всем предметам, проведенным в день экзамена).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Заполнить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информационн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ые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бирк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к материалам экзамена (приложение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5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к настоящей инструкции)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Информационные бирки к материалам экзамена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приложить 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кажд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стопк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 соответственно, и каждую стопку заклеить скотчем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1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По окончании соответствующего экзамена в ППЭ неиспользованные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оставляются в сейфе в Штабе ППЭ на хранение. Указанные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должны быть использованы на следующем экзамене. По окончании проведения всех запланированных в ППЭ экзаменов неиспользованные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ДБО № 2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направляются в РЦОИ вместе с другими неиспользованными ЭМ (упаковываются вместе с конвертами и формами ППЭ).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Все материалы упаковываются и помещаются на хранение в соответствии со схемой, утвержденной Министерством образования области.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0"/>
          <w:numId w:val="12"/>
        </w:numPr>
        <w:ind w:left="0" w:firstLine="0"/>
        <w:jc w:val="center"/>
        <w:spacing w:after="0" w:line="240" w:lineRule="auto"/>
        <w:tabs>
          <w:tab w:val="left" w:pos="28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ейст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руководителя ППЭ при проведении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ЕГЭ по иностранным языкам (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устная часть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0" w:right="0" w:firstLine="0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подготовительном этапе руководитель ППЭ совместно с руководителем образовательной организации, на базе 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оторой организован ППЭ, обязаны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беспечить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готовность ППЭ к проведению ЕГЭ в соответствии с требованиями к ППЭ, изложенными 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пункте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Положени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утвержденно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настоящим приказом,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том числе тех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ническое оснащение в соответствии с требованиями пункта 4 Положения о ППЭ, утвержденного настоящим приказом, и хранение основного и резервного флеш-накопителя для хранения интернет-пакетов в сейфе Штаба ППЭ с осуществлением мер информационной безопасности.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Также необходимо подготовить не менее 1 флеш-накопителя для переноса данных между станциями в ППЭ (рекомендуемое количество – по числу технических специалистов ППЭ).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Руководитель ППЭ обязан контролировать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Интернет-пакеты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распределенных по ППЭ участниках и аудиторном фонде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Не</w:t>
      </w:r>
      <w:r>
        <w:rPr>
          <w:rFonts w:ascii="Tinos" w:hAnsi="Tinos" w:eastAsia="Tinos" w:cs="Tinos"/>
          <w:bCs/>
          <w:sz w:val="28"/>
          <w:szCs w:val="28"/>
          <w:highlight w:val="none"/>
          <w:lang w:eastAsia="ru-RU"/>
        </w:rPr>
        <w:t xml:space="preserve"> позднее чем за один календарный день до начала проведения экзамена также необходимо: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подготовить бумагу для печати бланков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регистрации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аудиториях подготовки;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подготовить материалы, которые могут использовать участники экзамена в период ожидания своей очереди: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научно-популярные журналы,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любые книги,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журналы,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газеты и т.п.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Материалы должны быть на языке проводимого экзамена и взяты из школьной библиотеки.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Использование черновиков на устной части экзамена не предусмотрено.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ранее чем за 5 календарных дней, но не позднее </w:t>
        <w:br w:type="textWrapping" w:clear="all"/>
        <w:t xml:space="preserve">16 часов 00 минут календарного дня, предшествующего дню экзамена, и до проведения контроля технической готовности обеспечить проведение техническим специалистом технической подготовки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ранее, чем за 2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рабочих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дня и не позднее 16 часов 00 минут календарного дня, предшествующего дню экзамена, совместно с членом ГЭК и техническим специалистом провести контроль технической готовности ППЭ в том числе: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0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технического специалиста инструкции для участников экзамена по использованию ПО сдачи устной час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ти экзамена по иностранным языкам: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языка, сдаваемого в аудитории проведения экзамена;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0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технического специалиста коды активации станции записи ответов (кроме резервных станций записи ответов) для передачи организаторам в аудитории проведения (один код на каждый предмет для каждой аудитории проведения);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0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проконтролировать передачу в систему мониторинга готовности ППЭ в личном кабинете ППЭ электронных актов технической готовности со всех основных и резервных станций записи ответов, станций организатора, станций Штаба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0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проконтролировать передачу в систему мониторинга готовности ППЭ статуса «Контроль технической готовности завершен»;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0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аполнить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ППЭ-01-01-У. Указанный протокол удостоверяется подписями технического специалиста, руководителя ППЭ и членов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 начала экзамена руководитель ППЭ должен: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позднее 7 часов 30 минут, но до получения ЭМ от члена ГЭК обеспечить включение в Штабе ППЭ режима видеонаблюдения, записи, трансляции.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позднее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7 часов 30 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дать поручение техническому специалисту получить и распечатать в присутствии члена ГЭК пакет руководителя ППЭ – в случае использования электронной версии пакета руководителя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проверить наличие необходимого количества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флеш-накопител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для сохранения устных ответов участников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подготовить наличие необходимого количества конвертов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упаковки бланков регистрации после проведения экзамена (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 каждому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конверту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напечат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опроводительный бланк к материалам 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ГЭ обязательный к заполнению)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На ППЭ должны быть выданы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количестве: число аудиторий подготовки + удвоенное число аудиторий проведения.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ранее 8 часов 15 минут провести инструктаж с работниками ППЭ в соответствии с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Инструкцией для организаторов, зачитываемой руководителем ППЭ, перед началом экзамена по иностранным языкам (устная часть)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настоящ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аз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этапе инструктажа организаторов прикрепить организаторов вне 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удитории, которые будут сопровождать участников экзамена при переходе из аудиторий подготовки в аудитории проведения, к аудиториям проведения.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осле пр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оведения инструктажа выдать: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организаторам в аудитории проведения: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ППЭ-05-03-У;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ППЭ-12-02;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для упаковки бланков регистрации после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pacing w:val="-4"/>
          <w:sz w:val="28"/>
          <w:szCs w:val="28"/>
          <w:highlight w:val="none"/>
        </w:rPr>
      </w:pP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форму ППЭ-11 для конвертов с бланками регистрации;</w:t>
      </w:r>
      <w:r>
        <w:rPr>
          <w:rFonts w:ascii="Tinos" w:hAnsi="Tinos" w:cs="Tinos"/>
          <w:spacing w:val="-4"/>
          <w:sz w:val="28"/>
          <w:szCs w:val="28"/>
          <w:highlight w:val="none"/>
        </w:rPr>
      </w:r>
      <w:r>
        <w:rPr>
          <w:rFonts w:ascii="Tinos" w:hAnsi="Tinos" w:cs="Tinos"/>
          <w:spacing w:val="-4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коды активации экзамена (один код на каждый предмет для каждой аудитории проведения, код состоит из четырех цифр и генерируется средствами станции записи ответов)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 (по одной в аудиторию по каждому иностранному языку, сдаваемому в этой аудитории)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организаторам в аудитории подготовки: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ППЭ-05-01;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ППЭ-05-0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-У;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ППЭ-12-02;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ППЭ-12-04-МАШ (количество листов формы для выдачи в аудитории определяет руководитель ППЭ в соответствии с принятой им схемой);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для упаковки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испорченных (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бракованных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бланков регистрации;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993" w:leader="none"/>
        </w:tabs>
        <w:rPr>
          <w:rFonts w:ascii="Tinos" w:hAnsi="Tinos" w:cs="Tinos"/>
          <w:spacing w:val="-4"/>
          <w:sz w:val="28"/>
          <w:szCs w:val="28"/>
          <w:highlight w:val="none"/>
        </w:rPr>
      </w:pP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форму ППЭ-11 для конвертов с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испорченными (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бракованными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бланками регистрации</w:t>
      </w:r>
      <w:r>
        <w:rPr>
          <w:rFonts w:ascii="Tinos" w:hAnsi="Tinos" w:eastAsia="Tinos" w:cs="Tinos"/>
          <w:spacing w:val="-4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spacing w:val="-4"/>
          <w:sz w:val="28"/>
          <w:szCs w:val="28"/>
          <w:highlight w:val="none"/>
        </w:rPr>
      </w:r>
      <w:r>
        <w:rPr>
          <w:rFonts w:ascii="Tinos" w:hAnsi="Tinos" w:cs="Tinos"/>
          <w:spacing w:val="-4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организаторам вне аудитории – форму ППЭ-05-04_У, а также сообщить номера аудиторий проведения, к которым они прикреплены.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 полчаса до экзамена выдать организаторам в аудитории подготовки: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инструкции для участников экзамена по использованию ПО сдачи устного экзамена по иностранным языкам: одна инструкция на участника экзамена по иностранному языку сдаваемого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материалы, которые могут использовать участники экзамена в период ожидания своей очереди: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научно-популярные журналы,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любые книги,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журналы,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газеты и т.п.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Материалы должны быть на языке проводимого экзамена и взяты из школьной библиотеки.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Приносить участниками собственные материалы категорически запрещается.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получения информации о завершении печати во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всех аудиториях подготовки, расшифровке КИМ и успешном начале экзаменов во всех аудиториях проведения необходимо дать указание техническому специалисту передать статус «Экзамены успешно начались» в систему мониторинга готовности ППЭ в личном кабинете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в ППЭ до 10 часов 30 минут не явился ни один из распределенных участников, дать указание техническому специалисту в личном кабинете ППЭ при участии члена ГЭК с использованием токена члена ГЭК передать статус «Ожидание участника».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после передачи данного статуса в ППЭ является хотя бы один участник и приступает к выполнению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экзаменационной работы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статус «Ожидание участников» отменяется и передается статус «Экзамены успешно начались» – оба действия выполняются по указанию руководителя ППЭ в личном кабинете ППЭ при участии члена ГЭК с использованием токена члена ГЭК.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никто из распределенных участников не явился в ППЭ, и членом ГЭК принято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решение о завершении экзамена в ППЭ, статус «Ожидание участников» отменяется и передается статус «Экзамен не состоялся» – оба действия выполняются по указанию руководителя ППЭ в личном кабинете ППЭ при участии члена ГЭК с использованием токена члена ГЭК.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в ППЭ есть аудитории, в которые не явил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ся ни один участник, но при этом есть хотя бы одна аудитория, где экзамен начался, статус «Ожидание участников» не передается.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осле начала экзамена во всех аудиториях, в которые явились участники экзамена, ППЭ передает статус «Экзамены успешно начались».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Важно! 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либо статус «Экзамен не состоялся».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возникновения технических сбоев в работе станции записи ответов необходимо выполнить следующие действия: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пригласить в аудиторию технического специалиста для устранения возникших неисправностей;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если неисправности устранены, то сдача экзамена продолжается на этой станции записи ответов;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если неисправности не могут быть устранены, в аудитории должна быть установлена резервная станция записи ответов, на которой продолжается сдача экзамена.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Вышедшая из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строя станция записи ответов остаётся в аудитории в зоне видимости камер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видеонаблюдения до окончания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если неисправности не могут быть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устранены и нет резервной станции записи ответов, то участники, которые должны были сдавать экзамен на вышедшей из строя станции записи ответов, направляются для сдачи экзамена на имеющиеся станции записи ответов в этой аудитории в порядке общей очереди. 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этом случае прикрепленному организатору вне аудитории (который сопровождает участников) необходимо сообщить о выходе из строя станции записи ответов и уменьшении количества участников в одной группе, собираемой из аудиторий подготовки для сдачи экзамена;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если из строя вышла единственная станция записи ответов в аудитории и нет возможности 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замены, то принимается решение, что участники экзамена не закончили экзамен по объективным причинам с оформлением соответствующего акта (форма ППЭ-22). Они будут направлены на пересдачу экзамена в резервный день в соответствии с решением председателя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Выполнение экзаменационной работы участником экзамена в случае выхода из строя станции записи ответов: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если неисправность станции записи ответов возникла до начала выполнени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 ЭР (участник экзамена не перешел к просмотру заданий КИМ), то такой участник экзамена с тем же бланком регистрации может продолжить выполнение ЭР на этой же станции записи ответов (если неисправность устранена техн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ическим специалистом),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либо на другой станции записи ответов,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том числе на резервной станции записи ответов (если неисправность не устранен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trike w:val="0"/>
          <w:sz w:val="28"/>
          <w:szCs w:val="28"/>
          <w:highlight w:val="none"/>
          <w:lang w:eastAsia="ru-RU"/>
        </w:rPr>
        <w:t xml:space="preserve">в этой же аудитории.</w:t>
      </w:r>
      <w:r>
        <w:rPr>
          <w:rFonts w:ascii="Tinos" w:hAnsi="Tinos" w:eastAsia="Tinos" w:cs="Tinos"/>
          <w:strike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выполнения ЭР на другой станции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записи ответов (кроме резервной станции записи ответов по причине ее отсутствия), участник экзамена должен вернуться в свою аудиторию подготовки и пройти в аудиторию проведения со следующей группой участников экзамена (общая очередь сдачи при этом сдвигает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ся). В этом случае прикрепленному организатору вне аудитории (который приводит участников) необходимо сообщить о выходе из строя станции записи ответов и уменьшении количества участников в одной группе, собираемой из аудиторий подготовки для сдачи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если неисправность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станции записи ответов возникла после начала выполнения ЭР (участник экзамена перешел к просмотру заданий КИМ), участнику экзамена по его выбору предоставляется право выполнить задания, предусматривающие устные ответы, в тот же день или в резервные сроки.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желании участника экзамена пересдать экзамен в тот же день он должен быть направлен в ближайшую удобную очередь на сдачу экзамена в эту же аудиторию с этим же бланком регистрации, но на другую станци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записи ответов</w:t>
      </w:r>
      <w:r>
        <w:rPr>
          <w:rFonts w:ascii="Tinos" w:hAnsi="Tinos" w:eastAsia="Tinos" w:cs="Tinos"/>
          <w:strike w:val="0"/>
          <w:sz w:val="28"/>
          <w:szCs w:val="28"/>
          <w:highlight w:val="none"/>
          <w:lang w:eastAsia="ru-RU"/>
        </w:rPr>
        <w:t xml:space="preserve">.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этого повторно сдающий участник остается в аудитории проведения, а следующая группа участников соби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рается с учетом наличия этого участника (т.е. на одного человека меньше), общая очередь при этом сдвигается, о чем сообщается прикрепленному организатору вне аудитории.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случае необходимости более длительного ожидания повторной сдачи экзамена участника ну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жно сопроводить (сопровождает организатор вне аудитории) в Штаб ППЭ для ожидания следующей группы и при формировании этой группы включить в нее данного участника. По факту повторной сдачи экзамена участником в тот же день технический специалист, руководите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ль ППЭ и член ГЭК составляют акт в произвольной форме, в котором обязательно указывают: номер аудитории, номер компьютера (ноутбука), на котором произошел технический сбой во время сдачи экзамена участником, номер компьютера (ноутбука), на котором участник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сдавал экзамен повторно, краткое описание ситуации, вызвавшей технический сбой. По окончании экзамена необходимо проконтролировать, что технический специалист выполнил экспорт записей ответов участников экзамена со всех станций, включая вышедшую из строя.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желании участника экзамена прийти на пересдачу в резервный день соответствующего периода, коллегиально с руков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одителем ППЭ и чле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ном ГЭК принимается решение, что участник экзамена не закончил экзамен по объективным причинам с оформлением соответствующего акта (форма ППЭ-22) и участник экзамена направляется на пересдачу экзамена в резервный день на основании решения председателя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возникновения у участника экзамена претензий к качеству записи его ответов (участник экзамена должен прослушать свои ответы на станции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записи ответов после завершения экзамена, не выходя из аудитории проведения), необходимо пригласить в аудиторию технического специалиста для устранения возможных проблем, связанных с воспроизведением записи, и члена ГЭК для разрешения сложившейся ситуации.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Важно! До разрешения этой ситуации следующая группа участников экзамена в аудиторию проведения не приглашается.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Если проблемы воспроизведения устранить не удалось, и участник экзамена настаивает на неудовлетворительном качестве записи его устных ответов, то такой участник может подать апелляцию о нарушении Порядка.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Этап завершения экзамена в ППЭ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завершения выпо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лнения ЭР во всех аудиториях (все участники экзамена покинули аудитории) дать указание техническому специалисту передать статус «Экзамены завершены» о завершении экзамена в ППЭ в систему мониторинга готовности ППЭ в личном кабинете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Штабе ППЭ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 специально выделенным столом, находящимся в зоне видимости камер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видеонаблюдени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 присутствии членов ГЭК: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всех ответственных организаторов в аудитории проведения следующие материалы: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запечатанный 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бланками регистрации устной части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 наклеенной на него формой ППЭ-11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ППЭ-05-03-У;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ППЭ-12-02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служебные записки (при наличии).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организаторов в аудитории подготовки: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запечатанный конверт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испорченными (бракованными) бланками регистрации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наклеенной на него формой ППЭ-11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(при наличии)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ППЭ-05-02-У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ППЭ-12-02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ППЭ-12-04-МАШ;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форму ППЭ-23;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служебные записки (при наличии).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получить от организаторов вне аудитории: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ППЭ-05-04-У.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от технического специалиста: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флеш-накопитель (флеш-накопители) для сохранения устных ответов участников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сопроводительный бланк (бланки) к флеш-накопителю (флеш-накопителям)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сохранения устных ответов участников экзамена.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Совместно с членами ГЭК сверить данные сопроводительного бланка к флеш- накопителям с данными формы ППЭ-05-03_У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Совместно с членами ГЭК проконтролировать передачу техническим специалистом ППЭ в личном кабинете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пакета (пакетов) с аудиоответами участников экзамена в РЦОИ (может быть передан вместе с пакетом (пакетами) с электронными образами бланков и форм ППЭ после завершения процедуры сканирования);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электронн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ых журналов всех основных и резервных станций организатора и станций записи ответов в систему мониторинга готовности ППЭ (передачу журналов станций записи ответов следует выполнять после подтверждения получения пакетов с аудиоответами участников экзамена).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сканирования бланков в ППЭ и передачи бланков в РЦОИ в электронном виде: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при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получении от ответственного организатора ЭМ из аудитории вскрыть конверты с бланками регистрации и после заполнения формы ППЭ-13-03У все бланки ЕГЭ из аудитории вложить обратно в конверт и передать техническому специалисту для осуществления сканирования;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после сканирования бланков регистрации техническим специалистом принять их обратно, упаковать в новый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вложив в него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в котором бланки ЕГЭ были доставлены в Штаб ППЭ из аудитории. Руководитель ППЭ переносит информацию с сопроводительного бланка (формы ППЭ-11)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в котором бланки ЕГЭ были доставлены в Штаб ППЭ из аудитории, на сопроводительный бланк нового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 Новые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конверты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Заполнить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форму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ППЭ-14-02-У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Принять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 общественного (-ых) наблюдателя (-ей) (в случае присутствия его в ППЭ в день проведения экзамена) заполненную форму ППЭ-18-МАШ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br w:type="textWrapping" w:clear="all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(в случае неявки общественного наблюдателя в форме ППЭ-18-МАШ поставить соответствующую отметку в разделе «Общественны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й наблюдатель не явился в ППЭ»).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завершения сканирования всех бланков передать техническому специалисту заполненные формы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ППЭ-05-02-У;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ППЭ-05-03-У;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ППЭ-05-04-У;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ППЭ-07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ППЭ-12-02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ППЭ-12-04-МАШ;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ППЭ-13-03-У;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ППЭ-18-МАШ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ППЭ-19 (при наличии);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ППЭ-21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ППЭ-21-1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ППЭ-22 (при наличии) (при наличии);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Вместе с формами руководитель ППЭ передает техническому специалисту сопроводительный бланк (бланки) к флеш-накопителю для сохранения устных ответов участников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Также передаются для сканирования материалы апелляций о нарушении установленного порядка проведения ГИА (формы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ППЭ-02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 ППЭ-03 (при наличии).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Технический специалист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выполняет калибровку сканера с использованием эталонного калибровочного листа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(при необходимости)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сканирует полученные формы ПП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 и возвращает руководителю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Член ГЭК, руководитель ППЭ и технический специалист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жидают в Штабе ППЭ подтверждения от РЦОИ факта успешного получения и расшифровки переданных пакета (пакетов) с электронными образами бланков и форм ППЭ и пакета (пакетов) с аудиоответами участников экзамена (статус пакетов принимает значение «Подтвержден»)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получения от РЦОИ подтверждения по всем переданным пакетам: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1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подписать напечатанный протокол проведения процедуры сканирования: подписывается техническим специалистом, руководителем ППЭ и членом ГЭК и остается на хранение в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21"/>
        </w:numPr>
        <w:contextualSpacing/>
        <w:ind w:left="0" w:firstLine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проконтролировать передачу техническим специалистом ППЭ в систему мониторинга готовности ППЭ в личном кабинете ППЭ: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both"/>
        <w:spacing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электронных журналов работы основной и резервной станций Штаба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both"/>
        <w:spacing w:after="0" w:afterAutospacing="0"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статуса «Материалы переданы в РЦОИ».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Совместно с членом ГЭК еще раз еще раз пересчитать бланки регистрации, сверить информацию на сопроводительных бланках конвертов, в которых бланки регистрации были достав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лены из аудиторий в Штаб ППЭ, и нового конверта, проверить, что в новые конверты вложены конверты, в которых бланки регистрации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были доставлены из аудиторий в Штаб ППЭ, и запечатать конверт с бланками регистрации для хранения и транспортировки.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Присутствов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ать при упаковке членами ГЭК материалов экзамена для последующей передачи на хранение в РЦОИ, в соответствии со схемой, утвержденной Министерством образования области, за специально подготовленным столом, находящимся в зоне видимости камер видеонаблюдения.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numPr>
          <w:ilvl w:val="1"/>
          <w:numId w:val="12"/>
        </w:numPr>
        <w:contextualSpacing/>
        <w:ind w:left="0" w:firstLine="709"/>
        <w:jc w:val="both"/>
        <w:spacing w:after="0" w:afterAutospacing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Флеш-накопитель для сохранения устных ответов участников экзамена с аудиозаписями ответов участников экзамена, бумажные ЭМ после направления аудиозаписей и отсканированных изображений ЭМ хранятся в соответствии со схемой, определенной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Министерством образования области.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8647"/>
        <w:jc w:val="right"/>
        <w:spacing w:after="0" w:line="240" w:lineRule="auto"/>
        <w:tabs>
          <w:tab w:val="left" w:pos="4646" w:leader="none"/>
        </w:tabs>
        <w:rPr>
          <w:rFonts w:ascii="Tinos" w:hAnsi="Tinos" w:cs="Tinos"/>
          <w:sz w:val="28"/>
          <w:szCs w:val="28"/>
          <w:highlight w:val="none"/>
        </w:rPr>
        <w:sectPr>
          <w:footnotePr/>
          <w:endnotePr/>
          <w:type w:val="nextPage"/>
          <w:pgSz w:w="11906" w:h="16838" w:orient="portrait"/>
          <w:pgMar w:top="1077" w:right="567" w:bottom="1304" w:left="1077" w:header="709" w:footer="709" w:gutter="0"/>
          <w:cols w:num="1" w:sep="0" w:space="708" w:equalWidth="1"/>
          <w:docGrid w:linePitch="360"/>
        </w:sect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8647"/>
        <w:jc w:val="right"/>
        <w:spacing w:after="0" w:line="240" w:lineRule="auto"/>
        <w:tabs>
          <w:tab w:val="left" w:pos="4646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Приложение 1 к 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right"/>
        <w:spacing w:after="0" w:line="240" w:lineRule="auto"/>
        <w:tabs>
          <w:tab w:val="left" w:pos="4646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tabs>
          <w:tab w:val="left" w:pos="2760" w:leader="none"/>
        </w:tabs>
        <w:rPr>
          <w:rFonts w:ascii="Tinos" w:hAnsi="Tinos" w:cs="Tinos"/>
          <w:b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  <w:highlight w:val="none"/>
          <w:lang w:eastAsia="ru-RU"/>
        </w:rPr>
        <w:t xml:space="preserve">Ведомость ознакомления работников ППЭ с нормативными правовыми документами и инструктивными материалами ГИА</w:t>
      </w: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sz w:val="24"/>
          <w:szCs w:val="24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b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  <w:highlight w:val="none"/>
          <w:lang w:eastAsia="ru-RU"/>
        </w:rPr>
      </w: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sz w:val="24"/>
          <w:szCs w:val="24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Пункт проведения экзаменов_______________________________________________________________________________________________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0"/>
          <w:szCs w:val="20"/>
          <w:highlight w:val="none"/>
          <w:lang w:eastAsia="ru-RU"/>
        </w:rPr>
        <w:t xml:space="preserve">(№ ППЭ, наименование ОУ)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0"/>
          <w:szCs w:val="20"/>
          <w:highlight w:val="none"/>
          <w:lang w:eastAsia="ru-RU"/>
        </w:rPr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tbl>
      <w:tblPr>
        <w:tblW w:w="493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5075"/>
        <w:gridCol w:w="3055"/>
        <w:gridCol w:w="2286"/>
        <w:gridCol w:w="1838"/>
        <w:gridCol w:w="18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7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№ п/п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ФИО (полностью)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Место работы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Должность </w:t>
              <w:br w:type="textWrapping" w:clear="all"/>
              <w:t xml:space="preserve">по месту работы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Дата ознакомления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ind w:right="-68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Подпись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b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  <w:lang w:eastAsia="ru-RU"/>
              </w:rPr>
              <w:t xml:space="preserve">организатора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167"/>
              <w:numPr>
                <w:ilvl w:val="0"/>
                <w:numId w:val="22"/>
              </w:numPr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5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6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top"/>
            <w:textDirection w:val="lrTb"/>
            <w:noWrap w:val="false"/>
          </w:tcPr>
          <w:p>
            <w:pPr>
              <w:pStyle w:val="1167"/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</w:tbl>
    <w:p>
      <w:pPr>
        <w:pStyle w:val="1167"/>
        <w:keepNext/>
        <w:spacing w:after="0" w:line="360" w:lineRule="auto"/>
        <w:rPr>
          <w:rFonts w:ascii="Tinos" w:hAnsi="Tinos" w:cs="Tinos"/>
          <w:sz w:val="16"/>
          <w:szCs w:val="16"/>
          <w:highlight w:val="none"/>
        </w:rPr>
        <w:outlineLvl w:val="2"/>
      </w:pPr>
      <w:r>
        <w:rPr>
          <w:rFonts w:ascii="Tinos" w:hAnsi="Tinos" w:eastAsia="Tinos" w:cs="Tinos"/>
          <w:sz w:val="16"/>
          <w:szCs w:val="16"/>
          <w:highlight w:val="none"/>
          <w:lang w:eastAsia="ru-RU"/>
        </w:rPr>
      </w:r>
      <w:r>
        <w:rPr>
          <w:rFonts w:ascii="Tinos" w:hAnsi="Tinos" w:cs="Tinos"/>
          <w:sz w:val="16"/>
          <w:szCs w:val="16"/>
          <w:highlight w:val="none"/>
        </w:rPr>
      </w:r>
      <w:r>
        <w:rPr>
          <w:rFonts w:ascii="Tinos" w:hAnsi="Tinos" w:cs="Tinos"/>
          <w:sz w:val="16"/>
          <w:szCs w:val="16"/>
          <w:highlight w:val="none"/>
        </w:rPr>
      </w:r>
    </w:p>
    <w:p>
      <w:pPr>
        <w:pStyle w:val="1167"/>
        <w:keepNext/>
        <w:spacing w:after="0" w:line="240" w:lineRule="auto"/>
        <w:rPr>
          <w:rFonts w:ascii="Tinos" w:hAnsi="Tinos" w:cs="Tinos"/>
          <w:sz w:val="24"/>
          <w:szCs w:val="24"/>
          <w:highlight w:val="none"/>
        </w:rPr>
        <w:outlineLvl w:val="2"/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Руководитель ППЭ:_____________________/_____________________/  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0"/>
          <w:szCs w:val="20"/>
          <w:highlight w:val="none"/>
          <w:lang w:eastAsia="ru-RU"/>
        </w:rPr>
        <w:t xml:space="preserve"> </w:t>
        <w:tab/>
        <w:tab/>
        <w:tab/>
        <w:tab/>
        <w:t xml:space="preserve"> (ФИО) </w:t>
        <w:tab/>
        <w:tab/>
        <w:t xml:space="preserve">                         (подпись)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  <w:sectPr>
          <w:footnotePr/>
          <w:endnotePr/>
          <w:type w:val="nextPage"/>
          <w:pgSz w:w="16838" w:h="11906" w:orient="landscape"/>
          <w:pgMar w:top="1077" w:right="1077" w:bottom="567" w:left="1134" w:header="709" w:footer="709" w:gutter="0"/>
          <w:cols w:num="1" w:sep="0" w:space="708" w:equalWidth="1"/>
          <w:docGrid w:linePitch="360"/>
        </w:sect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2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right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right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ППЭ-11-01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right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none"/>
          <w:vertAlign w:val="superscript"/>
        </w:rPr>
      </w:pPr>
      <w:r>
        <w:rPr>
          <w:rFonts w:ascii="Tinos" w:hAnsi="Tinos" w:eastAsia="Tinos" w:cs="Tinos"/>
          <w:sz w:val="28"/>
          <w:szCs w:val="28"/>
          <w:highlight w:val="none"/>
          <w:vertAlign w:val="superscript"/>
          <w:lang w:eastAsia="ru-RU"/>
        </w:rPr>
        <w:t xml:space="preserve">(код формы)</w:t>
      </w:r>
      <w:r>
        <w:rPr>
          <w:rFonts w:ascii="Tinos" w:hAnsi="Tinos" w:cs="Tinos"/>
          <w:sz w:val="28"/>
          <w:szCs w:val="28"/>
          <w:highlight w:val="none"/>
          <w:vertAlign w:val="superscript"/>
        </w:rPr>
      </w:r>
      <w:r>
        <w:rPr>
          <w:rFonts w:ascii="Tinos" w:hAnsi="Tinos" w:cs="Tinos"/>
          <w:sz w:val="28"/>
          <w:szCs w:val="28"/>
          <w:highlight w:val="none"/>
          <w:vertAlign w:val="superscript"/>
        </w:rPr>
      </w:r>
    </w:p>
    <w:p>
      <w:pPr>
        <w:pStyle w:val="1167"/>
        <w:jc w:val="center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  <w:highlight w:val="none"/>
          <w:lang w:eastAsia="ru-RU"/>
        </w:rPr>
        <w:t xml:space="preserve">Сопроводительный бланк к материалам экзамена</w:t>
      </w: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sz w:val="24"/>
          <w:szCs w:val="24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0"/>
          <w:szCs w:val="10"/>
          <w:highlight w:val="none"/>
        </w:rPr>
      </w:pPr>
      <w:r>
        <w:rPr>
          <w:rFonts w:ascii="Tinos" w:hAnsi="Tinos" w:eastAsia="Tinos" w:cs="Tinos"/>
          <w:sz w:val="10"/>
          <w:szCs w:val="10"/>
          <w:highlight w:val="none"/>
          <w:lang w:eastAsia="ru-RU"/>
        </w:rPr>
      </w:r>
      <w:r>
        <w:rPr>
          <w:rFonts w:ascii="Tinos" w:hAnsi="Tinos" w:cs="Tinos"/>
          <w:sz w:val="10"/>
          <w:szCs w:val="10"/>
          <w:highlight w:val="none"/>
        </w:rPr>
      </w:r>
      <w:r>
        <w:rPr>
          <w:rFonts w:ascii="Tinos" w:hAnsi="Tinos" w:cs="Tinos"/>
          <w:sz w:val="10"/>
          <w:szCs w:val="10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МОУО___________________________ППЭ №_________________ Аудитория №_________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0"/>
          <w:szCs w:val="10"/>
          <w:highlight w:val="none"/>
        </w:rPr>
      </w:pPr>
      <w:r>
        <w:rPr>
          <w:rFonts w:ascii="Tinos" w:hAnsi="Tinos" w:eastAsia="Tinos" w:cs="Tinos"/>
          <w:sz w:val="10"/>
          <w:szCs w:val="10"/>
          <w:highlight w:val="none"/>
          <w:lang w:eastAsia="ru-RU"/>
        </w:rPr>
      </w:r>
      <w:r>
        <w:rPr>
          <w:rFonts w:ascii="Tinos" w:hAnsi="Tinos" w:cs="Tinos"/>
          <w:sz w:val="10"/>
          <w:szCs w:val="10"/>
          <w:highlight w:val="none"/>
        </w:rPr>
      </w:r>
      <w:r>
        <w:rPr>
          <w:rFonts w:ascii="Tinos" w:hAnsi="Tinos" w:cs="Tinos"/>
          <w:sz w:val="10"/>
          <w:szCs w:val="10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Код предмета_________________ Название предмета_______________________________________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0"/>
          <w:szCs w:val="10"/>
          <w:highlight w:val="none"/>
        </w:rPr>
      </w:pPr>
      <w:r>
        <w:rPr>
          <w:rFonts w:ascii="Tinos" w:hAnsi="Tinos" w:eastAsia="Tinos" w:cs="Tinos"/>
          <w:sz w:val="10"/>
          <w:szCs w:val="10"/>
          <w:highlight w:val="none"/>
          <w:lang w:eastAsia="ru-RU"/>
        </w:rPr>
      </w:r>
      <w:r>
        <w:rPr>
          <w:rFonts w:ascii="Tinos" w:hAnsi="Tinos" w:cs="Tinos"/>
          <w:sz w:val="10"/>
          <w:szCs w:val="10"/>
          <w:highlight w:val="none"/>
        </w:rPr>
      </w:r>
      <w:r>
        <w:rPr>
          <w:rFonts w:ascii="Tinos" w:hAnsi="Tinos" w:cs="Tinos"/>
          <w:sz w:val="10"/>
          <w:szCs w:val="10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4"/>
          <w:szCs w:val="4"/>
          <w:highlight w:val="none"/>
        </w:rPr>
      </w:pPr>
      <w:r>
        <w:rPr>
          <w:rFonts w:ascii="Tinos" w:hAnsi="Tinos" w:eastAsia="Tinos" w:cs="Tinos"/>
          <w:sz w:val="4"/>
          <w:szCs w:val="4"/>
          <w:highlight w:val="none"/>
          <w:lang w:eastAsia="ru-RU"/>
        </w:rPr>
      </w:r>
      <w:r>
        <w:rPr>
          <w:rFonts w:ascii="Tinos" w:hAnsi="Tinos" w:cs="Tinos"/>
          <w:sz w:val="4"/>
          <w:szCs w:val="4"/>
          <w:highlight w:val="none"/>
        </w:rPr>
      </w:r>
      <w:r>
        <w:rPr>
          <w:rFonts w:ascii="Tinos" w:hAnsi="Tinos" w:cs="Tinos"/>
          <w:sz w:val="4"/>
          <w:szCs w:val="4"/>
          <w:highlight w:val="non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946"/>
        <w:gridCol w:w="3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vAlign w:val="top"/>
            <w:textDirection w:val="lrTb"/>
            <w:noWrap w:val="false"/>
          </w:tcPr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  <w:t xml:space="preserve">Передаваемые материалы</w:t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4" w:type="dxa"/>
            <w:vAlign w:val="top"/>
            <w:textDirection w:val="lrTb"/>
            <w:noWrap w:val="false"/>
          </w:tcPr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  <w:t xml:space="preserve">Количество</w:t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14"/>
                <w:szCs w:val="14"/>
                <w:highlight w:val="none"/>
              </w:rPr>
            </w:pPr>
            <w:r>
              <w:rPr>
                <w:rFonts w:ascii="Tinos" w:hAnsi="Tinos" w:eastAsia="Tinos" w:cs="Tinos"/>
                <w:sz w:val="14"/>
                <w:szCs w:val="14"/>
                <w:highlight w:val="none"/>
                <w:lang w:eastAsia="ru-RU"/>
              </w:rPr>
            </w:r>
            <w:r>
              <w:rPr>
                <w:rFonts w:ascii="Tinos" w:hAnsi="Tinos" w:cs="Tinos"/>
                <w:sz w:val="14"/>
                <w:szCs w:val="14"/>
                <w:highlight w:val="none"/>
              </w:rPr>
            </w:r>
            <w:r>
              <w:rPr>
                <w:rFonts w:ascii="Tinos" w:hAnsi="Tinos" w:cs="Tinos"/>
                <w:sz w:val="14"/>
                <w:szCs w:val="14"/>
                <w:highlight w:val="none"/>
              </w:rPr>
            </w:r>
          </w:p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  <w:t xml:space="preserve">Черновики</w:t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14"/>
                <w:szCs w:val="14"/>
                <w:highlight w:val="none"/>
              </w:rPr>
            </w:pPr>
            <w:r>
              <w:rPr>
                <w:rFonts w:ascii="Tinos" w:hAnsi="Tinos" w:eastAsia="Tinos" w:cs="Tinos"/>
                <w:sz w:val="14"/>
                <w:szCs w:val="14"/>
                <w:highlight w:val="none"/>
                <w:lang w:eastAsia="ru-RU"/>
              </w:rPr>
            </w:r>
            <w:r>
              <w:rPr>
                <w:rFonts w:ascii="Tinos" w:hAnsi="Tinos" w:cs="Tinos"/>
                <w:sz w:val="14"/>
                <w:szCs w:val="14"/>
                <w:highlight w:val="none"/>
              </w:rPr>
            </w:r>
            <w:r>
              <w:rPr>
                <w:rFonts w:ascii="Tinos" w:hAnsi="Tinos" w:cs="Tinos"/>
                <w:sz w:val="14"/>
                <w:szCs w:val="1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4" w:type="dxa"/>
            <w:vAlign w:val="top"/>
            <w:textDirection w:val="lrTb"/>
            <w:noWrap w:val="false"/>
          </w:tcPr>
          <w:p>
            <w:pPr>
              <w:pStyle w:val="1167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none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55245</wp:posOffset>
                      </wp:positionV>
                      <wp:extent cx="685800" cy="228600"/>
                      <wp:effectExtent l="0" t="0" r="0" b="0"/>
                      <wp:wrapNone/>
                      <wp:docPr id="1" name="_x0000_s10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85800" cy="228600"/>
                                <a:chOff x="7874" y="3022"/>
                                <a:chExt cx="1080" cy="36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7874" y="3022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"/>
                              <wps:cNvSpPr/>
                              <wps:spPr bwMode="auto">
                                <a:xfrm>
                                  <a:off x="8234" y="3022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"/>
                              <wps:cNvSpPr/>
                              <wps:spPr bwMode="auto">
                                <a:xfrm>
                                  <a:off x="8594" y="3022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524288;o:allowoverlap:true;o:allowincell:true;mso-position-horizontal-relative:text;margin-left:57.70pt;mso-position-horizontal:absolute;mso-position-vertical-relative:text;margin-top:4.35pt;mso-position-vertical:absolute;width:54.00pt;height:18.00pt;mso-wrap-distance-left:9.00pt;mso-wrap-distance-top:0.00pt;mso-wrap-distance-right:9.00pt;mso-wrap-distance-bottom:0.00pt;" coordorigin="78,30" coordsize="10,3">
                      <v:shape id="shape 1" o:spid="_x0000_s1" o:spt="1" type="#_x0000_t1" style="position:absolute;left:78;top:30;width:3;height:3;visibility:visible;" fillcolor="#FFFFFF" strokecolor="#000000"/>
                      <v:shape id="shape 2" o:spid="_x0000_s2" o:spt="1" type="#_x0000_t1" style="position:absolute;left:82;top:30;width:3;height:3;visibility:visible;" fillcolor="#FFFFFF" strokecolor="#000000"/>
                      <v:shape id="shape 3" o:spid="_x0000_s3" o:spt="1" type="#_x0000_t1" style="position:absolute;left:85;top:30;width:3;height:3;visibility:visible;" fillcolor="#FFFFFF" strokecolor="#000000"/>
                    </v:group>
                  </w:pict>
                </mc:Fallback>
              </mc:AlternateContent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</w:tbl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Материалы сдал___________________________________________/_______________________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6"/>
          <w:szCs w:val="16"/>
          <w:highlight w:val="none"/>
        </w:rPr>
      </w:pPr>
      <w:r>
        <w:rPr>
          <w:rFonts w:ascii="Tinos" w:hAnsi="Tinos" w:eastAsia="Tinos" w:cs="Tinos"/>
          <w:sz w:val="16"/>
          <w:szCs w:val="16"/>
          <w:highlight w:val="none"/>
          <w:lang w:eastAsia="ru-RU"/>
        </w:rPr>
        <w:t xml:space="preserve">(ФИО полностью)                                                                               (должность в ППЭ)</w:t>
      </w:r>
      <w:r>
        <w:rPr>
          <w:rFonts w:ascii="Tinos" w:hAnsi="Tinos" w:cs="Tinos"/>
          <w:sz w:val="16"/>
          <w:szCs w:val="16"/>
          <w:highlight w:val="none"/>
        </w:rPr>
      </w:r>
      <w:r>
        <w:rPr>
          <w:rFonts w:ascii="Tinos" w:hAnsi="Tinos" w:cs="Tinos"/>
          <w:sz w:val="16"/>
          <w:szCs w:val="16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0"/>
          <w:szCs w:val="10"/>
          <w:highlight w:val="none"/>
        </w:rPr>
      </w:pPr>
      <w:r>
        <w:rPr>
          <w:rFonts w:ascii="Tinos" w:hAnsi="Tinos" w:eastAsia="Tinos" w:cs="Tinos"/>
          <w:sz w:val="10"/>
          <w:szCs w:val="10"/>
          <w:highlight w:val="none"/>
          <w:lang w:eastAsia="ru-RU"/>
        </w:rPr>
      </w:r>
      <w:r>
        <w:rPr>
          <w:rFonts w:ascii="Tinos" w:hAnsi="Tinos" w:cs="Tinos"/>
          <w:sz w:val="10"/>
          <w:szCs w:val="10"/>
          <w:highlight w:val="none"/>
        </w:rPr>
      </w:r>
      <w:r>
        <w:rPr>
          <w:rFonts w:ascii="Tinos" w:hAnsi="Tinos" w:cs="Tinos"/>
          <w:sz w:val="10"/>
          <w:szCs w:val="10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  <w:lang w:eastAsia="ru-RU"/>
        </w:rPr>
        <w:t xml:space="preserve">____.___.___   ___час ___мин  _______________</w:t>
      </w: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  <w:highlight w:val="none"/>
        </w:rPr>
      </w:r>
    </w:p>
    <w:p>
      <w:pPr>
        <w:pStyle w:val="1167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sz w:val="16"/>
          <w:szCs w:val="16"/>
          <w:highlight w:val="none"/>
        </w:rPr>
        <w:pBdr>
          <w:bottom w:val="single" w:color="000000" w:sz="12" w:space="0"/>
        </w:pBdr>
      </w:pPr>
      <w:r>
        <w:rPr>
          <w:rFonts w:ascii="Tinos" w:hAnsi="Tinos" w:eastAsia="Tinos" w:cs="Tinos"/>
          <w:sz w:val="16"/>
          <w:szCs w:val="16"/>
          <w:highlight w:val="none"/>
          <w:lang w:eastAsia="ru-RU"/>
        </w:rPr>
        <w:t xml:space="preserve">дата                              время                                   подпись</w:t>
      </w:r>
      <w:r>
        <w:rPr>
          <w:rFonts w:ascii="Tinos" w:hAnsi="Tinos" w:cs="Tinos"/>
          <w:sz w:val="16"/>
          <w:szCs w:val="16"/>
          <w:highlight w:val="none"/>
        </w:rPr>
      </w:r>
      <w:r>
        <w:rPr>
          <w:rFonts w:ascii="Tinos" w:hAnsi="Tinos" w:cs="Tinos"/>
          <w:sz w:val="16"/>
          <w:szCs w:val="16"/>
          <w:highlight w:val="none"/>
        </w:rPr>
      </w:r>
    </w:p>
    <w:p>
      <w:pPr>
        <w:pStyle w:val="1167"/>
        <w:jc w:val="right"/>
        <w:spacing w:after="0" w:line="240" w:lineRule="auto"/>
        <w:tabs>
          <w:tab w:val="left" w:pos="4062" w:leader="none"/>
        </w:tabs>
        <w:rPr>
          <w:rFonts w:ascii="Tinos" w:hAnsi="Tinos" w:cs="Tinos"/>
          <w:sz w:val="28"/>
          <w:szCs w:val="28"/>
          <w:highlight w:val="none"/>
        </w:rPr>
        <w:sectPr>
          <w:footnotePr/>
          <w:endnotePr/>
          <w:type w:val="nextPage"/>
          <w:pgSz w:w="11906" w:h="16838" w:orient="portrait"/>
          <w:pgMar w:top="1077" w:right="567" w:bottom="1134" w:left="1077" w:header="709" w:footer="709" w:gutter="0"/>
          <w:cols w:num="1" w:sep="0" w:space="708" w:equalWidth="1"/>
          <w:docGrid w:linePitch="360"/>
        </w:sect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7380" w:hanging="738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ind w:left="7380" w:hanging="738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 № ________________</w:t>
        <w:tab/>
        <w:t xml:space="preserve">Председателю ГЭК Руководителю РЦОИ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Предмет________________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СЛУЖЕБНАЯ ЗАПИСКА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Служебную записку составил: ___________ / ___________ / _______________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ab/>
        <w:tab/>
        <w:tab/>
        <w:tab/>
        <w:t xml:space="preserve">             должность</w:t>
        <w:tab/>
        <w:t xml:space="preserve">    подпись</w:t>
        <w:tab/>
        <w:t xml:space="preserve">       расшифровка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spacing w:after="0" w:line="240" w:lineRule="auto"/>
        <w:rPr>
          <w:rFonts w:ascii="Tinos" w:hAnsi="Tinos" w:cs="Tinos"/>
          <w:sz w:val="20"/>
          <w:szCs w:val="20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Дата составления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br w:type="page" w:clear="all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4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к 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709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82220" cy="7444981"/>
                <wp:effectExtent l="0" t="0" r="0" b="0"/>
                <wp:docPr id="2" name="_x0000_i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82220" cy="7444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502.54pt;height:586.2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br w:type="page" w:clear="all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5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 Инструкции для руководителя пункта проведения экзаменов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на территории Вологодской области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ind w:left="4111"/>
        <w:jc w:val="righ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167"/>
        <w:contextualSpacing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5717" cy="4497324"/>
                <wp:effectExtent l="0" t="0" r="0" b="0"/>
                <wp:docPr id="3" name="_x0000_i103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5717" cy="449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509.90pt;height:354.12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sectPr>
      <w:footerReference w:type="even" r:id="rId9"/>
      <w:footnotePr/>
      <w:endnotePr/>
      <w:type w:val="nextPage"/>
      <w:pgSz w:w="11906" w:h="16838" w:orient="portrait"/>
      <w:pgMar w:top="1077" w:right="567" w:bottom="1134" w:left="107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03"/>
      <w:rPr>
        <w:rStyle w:val="1205"/>
      </w:rPr>
      <w:framePr w:wrap="around" w:vAnchor="text" w:hAnchor="margin" w:xAlign="center" w:y="1"/>
    </w:pPr>
    <w:r>
      <w:rPr>
        <w:rStyle w:val="1205"/>
      </w:rPr>
      <w:fldChar w:fldCharType="begin"/>
    </w:r>
    <w:r>
      <w:rPr>
        <w:rStyle w:val="1205"/>
      </w:rPr>
      <w:instrText xml:space="preserve">PAGE  </w:instrText>
    </w:r>
    <w:r>
      <w:rPr>
        <w:rStyle w:val="1205"/>
      </w:rPr>
      <w:fldChar w:fldCharType="end"/>
    </w:r>
    <w:r>
      <w:rPr>
        <w:rStyle w:val="1205"/>
      </w:rPr>
    </w:r>
    <w:r>
      <w:rPr>
        <w:rStyle w:val="1205"/>
      </w:rPr>
    </w:r>
  </w:p>
  <w:p>
    <w:pPr>
      <w:pStyle w:val="1203"/>
    </w:pPr>
    <w:r/>
    <w:r/>
  </w:p>
  <w:p>
    <w:pPr>
      <w:pStyle w:val="116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189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Статья 14 Семейного кодекса </w:t>
      </w:r>
      <w:r>
        <w:rPr>
          <w:rFonts w:ascii="Tinos" w:hAnsi="Tinos" w:eastAsia="Tinos" w:cs="Tinos"/>
          <w:highlight w:val="none"/>
        </w:rPr>
        <w:t xml:space="preserve">Российской </w:t>
      </w:r>
      <w:r>
        <w:rPr>
          <w:rFonts w:ascii="Tinos" w:hAnsi="Tinos" w:eastAsia="Tinos" w:cs="Tinos"/>
          <w:highlight w:val="none"/>
        </w:rPr>
        <w:t xml:space="preserve">Федерации</w:t>
      </w:r>
      <w:r>
        <w:rPr>
          <w:rFonts w:ascii="Tinos" w:hAnsi="Tinos" w:eastAsia="Tinos" w:cs="Tinos"/>
          <w:highlight w:val="none"/>
        </w:rPr>
        <w:t xml:space="preserve"> 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3">
    <w:p>
      <w:pPr>
        <w:pStyle w:val="1189"/>
        <w:ind w:left="0" w:right="0" w:firstLine="425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Информация о количестве таких участников экзаменов в ППЭ и о необходимости организации </w:t>
      </w:r>
      <w:r>
        <w:rPr>
          <w:rFonts w:ascii="Tinos" w:hAnsi="Tinos" w:eastAsia="Tinos" w:cs="Tinos"/>
          <w:highlight w:val="none"/>
        </w:rPr>
        <w:t xml:space="preserve">проведения экзаменов в условиях, учитывающих состояние их здоровья, особенности психофизического развития, направляется Министерством образования области в ППЭ не позднее двух рабочих дней до дня проведения экзамена по соо</w:t>
      </w:r>
      <w:r>
        <w:rPr>
          <w:rFonts w:ascii="Tinos" w:hAnsi="Tinos" w:eastAsia="Tinos" w:cs="Tinos"/>
          <w:highlight w:val="none"/>
        </w:rPr>
        <w:t xml:space="preserve">тветствующему учебному предмету.  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</w:footnote>
  <w:footnote w:id="4">
    <w:p>
      <w:pPr>
        <w:pStyle w:val="1189"/>
        <w:ind w:left="0" w:right="0" w:firstLine="425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Необходимо настроить стационарные и (или) переносные металлоискатели таким образом, чтобы </w:t>
      </w:r>
      <w:r>
        <w:rPr>
          <w:rFonts w:ascii="Tinos" w:hAnsi="Tinos" w:eastAsia="Tinos" w:cs="Tinos"/>
          <w:highlight w:val="none"/>
        </w:rPr>
        <w:t xml:space="preserve">обеспечить нужный уровень чувствительности, т.к. неверная настройка может стать причиной нарушения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прав участников экзаменов и нарушений порядка проведения ГИА (если металлоискатель реагирует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на безопасные/допустимые предметы или игнорирует опасные/запрещенные, или реагирует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на стационарные предметы, находящиеся в непосредственной близости, например, стальные двери).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  <w:p>
      <w:pPr>
        <w:pStyle w:val="1189"/>
        <w:ind w:left="0" w:right="0" w:firstLine="425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Fonts w:ascii="Tinos" w:hAnsi="Tinos" w:eastAsia="Tinos" w:cs="Tinos"/>
          <w:highlight w:val="none"/>
        </w:rPr>
        <w:t xml:space="preserve">Для настройки рекомендуется использовать образцы для фиксации опасных/запрещенных </w:t>
      </w:r>
      <w:r>
        <w:rPr>
          <w:rFonts w:ascii="Tinos" w:hAnsi="Tinos" w:eastAsia="Tinos" w:cs="Tinos"/>
          <w:highlight w:val="none"/>
        </w:rPr>
        <w:t xml:space="preserve">предметов и любые металлические предметы (например, ключи, пряжка ремня, металлические аксессуары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и т.д.).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  <w:p>
      <w:pPr>
        <w:pStyle w:val="1189"/>
        <w:ind w:left="0" w:right="0" w:firstLine="425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Fonts w:ascii="Tinos" w:hAnsi="Tinos" w:eastAsia="Tinos" w:cs="Tinos"/>
          <w:highlight w:val="none"/>
        </w:rPr>
        <w:t xml:space="preserve">На металлои</w:t>
      </w:r>
      <w:r>
        <w:rPr>
          <w:rFonts w:ascii="Tinos" w:hAnsi="Tinos" w:eastAsia="Tinos" w:cs="Tinos"/>
          <w:highlight w:val="none"/>
        </w:rPr>
        <w:t xml:space="preserve">скателях различные предметы могут фиксироваться в качестве опасных/запрещенных </w:t>
      </w:r>
      <w:r>
        <w:rPr>
          <w:rFonts w:ascii="Tinos" w:hAnsi="Tinos" w:eastAsia="Tinos" w:cs="Tinos"/>
          <w:highlight w:val="none"/>
        </w:rPr>
        <w:t xml:space="preserve">или безопасных/допустимых. Образцы несколько раз проносятся через металлоискатель, фиксируя данные.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  <w:p>
      <w:pPr>
        <w:pStyle w:val="1189"/>
        <w:ind w:left="0" w:right="0" w:firstLine="425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Fonts w:ascii="Tinos" w:hAnsi="Tinos" w:eastAsia="Tinos" w:cs="Tinos"/>
          <w:highlight w:val="none"/>
        </w:rPr>
        <w:t xml:space="preserve">Имитируются различные условия: меняется скорость и место расположения предметов. В случае </w:t>
      </w:r>
      <w:r>
        <w:rPr>
          <w:rFonts w:ascii="Tinos" w:hAnsi="Tinos" w:eastAsia="Tinos" w:cs="Tinos"/>
          <w:highlight w:val="none"/>
        </w:rPr>
        <w:t xml:space="preserve">недостоверного сигнал</w:t>
      </w:r>
      <w:r>
        <w:rPr>
          <w:rFonts w:ascii="Tinos" w:hAnsi="Tinos" w:eastAsia="Tinos" w:cs="Tinos"/>
          <w:highlight w:val="none"/>
        </w:rPr>
        <w:t xml:space="preserve">а меняются настройки. В качестве рабочего выбирается режим с наименьшим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количеством ошибок.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</w:footnote>
  <w:footnote w:id="5">
    <w:p>
      <w:pPr>
        <w:pStyle w:val="1189"/>
        <w:jc w:val="both"/>
        <w:rPr>
          <w:rFonts w:ascii="Tinos" w:hAnsi="Tinos" w:cs="Tinos"/>
          <w:sz w:val="20"/>
          <w:szCs w:val="20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sz w:val="20"/>
          <w:szCs w:val="20"/>
          <w:highlight w:val="none"/>
        </w:rPr>
        <w:t xml:space="preserve">В случае проведения ЕГЭ не на базе образовательной организации поле «ФИО руководителя организации» в форме ППЭ-01 заполняется вручную.</w:t>
      </w:r>
      <w:r>
        <w:rPr>
          <w:rFonts w:ascii="Tinos" w:hAnsi="Tinos" w:cs="Tinos"/>
          <w:sz w:val="20"/>
          <w:szCs w:val="20"/>
          <w:highlight w:val="none"/>
        </w:rPr>
      </w:r>
      <w:r>
        <w:rPr>
          <w:rFonts w:ascii="Tinos" w:hAnsi="Tinos" w:cs="Tinos"/>
          <w:sz w:val="20"/>
          <w:szCs w:val="20"/>
          <w:highlight w:val="none"/>
        </w:rPr>
      </w:r>
    </w:p>
  </w:footnote>
  <w:footnote w:id="6">
    <w:p>
      <w:pPr>
        <w:pStyle w:val="1189"/>
        <w:jc w:val="both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Работники ППЭ, общественные наблюдатели, а также участники экзаменов, покинувшие ППЭ в день проведения экзамена, повторно в ППЭ в указанный день не допускаются. 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7">
    <w:p>
      <w:pPr>
        <w:pStyle w:val="1189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Допускается только в Штабе ППЭ и только в связи со служебной необходимостью. 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8">
    <w:p>
      <w:pPr>
        <w:pStyle w:val="1189"/>
        <w:jc w:val="both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Присутствуют в ППЭ только до момента вскрытия участниками экзаменов ЭМ, в которые входят бланки и КИМ, или до момента начала печати ЭМ.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9">
    <w:p>
      <w:pPr>
        <w:pStyle w:val="1189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Член ГЭК фиксирует данный факт для дальнейшего принятия решения.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10">
    <w:p>
      <w:pPr>
        <w:pStyle w:val="1189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Средства связи, фото-, аудио- и видеоаппаратура, электронно-вычислительная техника, </w:t>
      </w:r>
      <w:r>
        <w:rPr>
          <w:rFonts w:ascii="Tinos" w:hAnsi="Tinos" w:eastAsia="Tinos" w:cs="Tinos"/>
          <w:highlight w:val="none"/>
        </w:rPr>
        <w:t xml:space="preserve">справочные материалы, письменные заметки и иные средства хранения и передачи информации (за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исключением средств обучения и воспитания, разрешенных к использованию для выполнения заданий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КИМ по соответствующим учебным предметам).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</w:footnote>
  <w:footnote w:id="11">
    <w:p>
      <w:pPr>
        <w:pStyle w:val="1189"/>
        <w:jc w:val="both"/>
        <w:rPr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Указанный акт подписывают член ГЭК и участник экзамена, отказавшийся от сдачи </w:t>
      </w:r>
      <w:r>
        <w:rPr>
          <w:rFonts w:ascii="Tinos" w:hAnsi="Tinos" w:eastAsia="Tinos" w:cs="Tinos"/>
          <w:highlight w:val="none"/>
        </w:rPr>
        <w:t xml:space="preserve">запрещенного средства. Акт составляется в двух экземплярах </w:t>
      </w:r>
      <w:r>
        <w:rPr>
          <w:rFonts w:ascii="Tinos" w:hAnsi="Tinos" w:eastAsia="Tinos" w:cs="Tinos"/>
          <w:highlight w:val="none"/>
        </w:rPr>
        <w:t xml:space="preserve">(ППЭ-24).</w:t>
      </w:r>
      <w:r>
        <w:rPr>
          <w:rFonts w:ascii="Tinos" w:hAnsi="Tinos" w:eastAsia="Tinos" w:cs="Tinos"/>
          <w:highlight w:val="none"/>
        </w:rPr>
        <w:t xml:space="preserve"> Первый экземпляр член ГЭК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оставляет у себя для передачи председателю ГЭК, второй передает участнику экзамена. Повторно к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участию в экзамене по данному учебному предмету в резервные сроки указанный участник экзамена может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быть допущен только по решению председателя ГЭК. </w:t>
      </w:r>
      <w:r>
        <w:rPr>
          <w:rFonts w:ascii="Tinos" w:hAnsi="Tinos" w:eastAsia="Tinos" w:cs="Tinos"/>
          <w:highlight w:val="none"/>
        </w:rPr>
        <w:t xml:space="preserve">Подробнее о составлении указанного акта можно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ознакомиться в Рекомендациях для исполнительных органов субъектов Российской Федерации,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осуществляющих государственное управление в сфере образования, по работе с нарушениями Порядка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проведения государственной итоговой аттестации по образовательным программам среднего общего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образования, размещенных на официальном сайте Рособрнадзора</w:t>
      </w:r>
      <w:r>
        <w:rPr>
          <w:highlight w:val="none"/>
        </w:rPr>
      </w:r>
      <w:r>
        <w:rPr>
          <w:highlight w:val="none"/>
        </w:rPr>
      </w:r>
    </w:p>
  </w:footnote>
  <w:footnote w:id="12">
    <w:p>
      <w:pPr>
        <w:pStyle w:val="1189"/>
        <w:rPr>
          <w:rFonts w:ascii="Tinos" w:hAnsi="Tinos" w:cs="Tinos"/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Экзамены начинаются в 10 часов 00 минут.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</w:footnote>
  <w:footnote w:id="13">
    <w:p>
      <w:pPr>
        <w:pStyle w:val="1189"/>
        <w:jc w:val="both"/>
        <w:rPr>
          <w:highlight w:val="none"/>
        </w:rPr>
      </w:pPr>
      <w:r>
        <w:rPr>
          <w:rStyle w:val="1191"/>
          <w:rFonts w:ascii="Tinos" w:hAnsi="Tinos" w:eastAsia="Tinos" w:cs="Tinos"/>
          <w:highlight w:val="none"/>
        </w:rPr>
        <w:footnoteRef/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В случае если в ППЭ до 10:30 не явился ни один из распределенных участников, дать указание </w:t>
      </w:r>
      <w:r>
        <w:rPr>
          <w:rFonts w:ascii="Tinos" w:hAnsi="Tinos" w:eastAsia="Tinos" w:cs="Tinos"/>
          <w:highlight w:val="none"/>
        </w:rPr>
        <w:t xml:space="preserve">техническому специалисту в личном кабинете ППЭ при участии члена ГЭК с использованием токена члена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ГЭК передать статус «Ожидание участника». В случае если после передачи данного статуса в ППЭ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является хотя бы один участник и приступает к выполнению ЭР, статус «Ожидание участников»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отменяется и передается статус «Экзамены успешно начались» – оба действия выполняются по указанию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руководителя ППЭ в личном кабинете ППЭ при участии члена ГЭК с использованием токена члена ГЭК. В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случае если никто из распределенных участников не явился в ППЭ, и членом ГЭК принято решение о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завершении экзамена в ППЭ, статус «Ожидание участников» отменяется и передается статус «Экзамен не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состоялся» – оба действия выполняются по указанию руководителя ППЭ в личном кабинете ППЭ при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участии члена ГЭК с использованием токена члена ГЭК. (В случае если в ППЭ есть аудитории, в которые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не явился ни один участник, но при этом есть хотя бы одна аудитория, где экзамен начался, статус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«Ожидание участников» не передается; после начала экзамена во всех аудиториях, в которые явились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участники экзамена, ППЭ передает статус «Экзамены успешно начались».)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189"/>
        <w:jc w:val="both"/>
        <w:rPr>
          <w:rFonts w:ascii="Tinos" w:hAnsi="Tinos" w:eastAsia="Tinos" w:cs="Tinos"/>
          <w:highlight w:val="none"/>
        </w:rPr>
      </w:pPr>
      <w:r>
        <w:rPr>
          <w:rFonts w:ascii="Tinos" w:hAnsi="Tinos" w:eastAsia="Tinos" w:cs="Tinos"/>
          <w:highlight w:val="none"/>
        </w:rPr>
        <w:t xml:space="preserve">Важно! Статус «Ожидание участников» – временный, он обязательно отменяется до окончания </w:t>
      </w:r>
      <w:r>
        <w:rPr>
          <w:rFonts w:ascii="Tinos" w:hAnsi="Tinos" w:eastAsia="Tinos" w:cs="Tinos"/>
          <w:highlight w:val="none"/>
        </w:rPr>
        <w:t xml:space="preserve">экзамена. Вместо него устанавливается статус «Экзамены успешно начались» либо статус «Экзамен не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состоялся».</w:t>
      </w:r>
      <w:r>
        <w:rPr>
          <w:rFonts w:ascii="Tinos" w:hAnsi="Tinos" w:eastAsia="Tinos" w:cs="Tinos"/>
          <w:highlight w:val="none"/>
        </w:rPr>
      </w:r>
      <w:r>
        <w:rPr>
          <w:rFonts w:ascii="Tinos" w:hAnsi="Tinos" w:eastAsia="Tinos" w:cs="Tinos"/>
          <w:highlight w:val="none"/>
        </w:rPr>
      </w:r>
    </w:p>
  </w:footnote>
  <w:footnote w:id="14">
    <w:p>
      <w:pPr>
        <w:pStyle w:val="1189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Style w:val="1153"/>
          <w:highlight w:val="none"/>
        </w:rPr>
        <w:footnoteRef/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Подробнее с действиями при обнаружении факта нарушения Порядка, в том числе с </w:t>
      </w:r>
      <w:r>
        <w:rPr>
          <w:rFonts w:ascii="Tinos" w:hAnsi="Tinos" w:eastAsia="Tinos" w:cs="Tinos"/>
          <w:highlight w:val="none"/>
        </w:rPr>
        <w:t xml:space="preserve">рекомендациями по составлению соответствующих актов, можно ознакомиться в Рекомендациях для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исполнительных органов субъектов Российской Федерации, осуществляющих государственное управление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в сфере образования, по работе с нарушениями Порядка проведения государственной итоговой аттестации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по образовательным программам среднего общего образования, размещенных на официальном сайте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highlight w:val="none"/>
        </w:rPr>
        <w:t xml:space="preserve">Рособрнадзора</w:t>
      </w:r>
      <w:r>
        <w:rPr>
          <w:rFonts w:ascii="Tinos" w:hAnsi="Tinos" w:eastAsia="Tinos" w:cs="Tinos"/>
          <w:highlight w:val="none"/>
        </w:rPr>
        <w:t xml:space="preserve">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168"/>
      <w:isLgl w:val="false"/>
      <w:suff w:val="tab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6" w:hanging="576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pStyle w:val="1170"/>
      <w:isLgl w:val="false"/>
      <w:suff w:val="tab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1171"/>
      <w:isLgl w:val="false"/>
      <w:suff w:val="tab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1172"/>
      <w:isLgl w:val="false"/>
      <w:suff w:val="tab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1173"/>
      <w:isLgl w:val="false"/>
      <w:suff w:val="tab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1174"/>
      <w:isLgl w:val="false"/>
      <w:suff w:val="tab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1175"/>
      <w:isLgl w:val="false"/>
      <w:suff w:val="tab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1176"/>
      <w:isLgl w:val="false"/>
      <w:suff w:val="tab"/>
      <w:lvlText w:val="%1.%2.%3.%4.%5.%6.%7.%8.%9"/>
      <w:lvlJc w:val="left"/>
      <w:pPr>
        <w:ind w:left="450" w:hanging="1584"/>
      </w:pPr>
      <w:rPr>
        <w:rFonts w:cs="Times New Roman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620" w:hanging="720"/>
        <w:tabs>
          <w:tab w:val="num" w:pos="16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  <w:tabs>
          <w:tab w:val="num" w:pos="14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5">
    <w:multiLevelType w:val="hybridMultilevel"/>
    <w:lvl w:ilvl="0">
      <w:start w:val="1"/>
      <w:numFmt w:val="bullet"/>
      <w:pStyle w:val="1226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bullet"/>
      <w:isLgl w:val="false"/>
      <w:suff w:val="tab"/>
      <w:lvlText w:val=""/>
      <w:lvlJc w:val="left"/>
      <w:pPr>
        <w:ind w:left="1288" w:hanging="720"/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8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2138" w:hanging="360"/>
        <w:tabs>
          <w:tab w:val="num" w:pos="213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pStyle w:val="1215"/>
      <w:isLgl w:val="false"/>
      <w:suff w:val="tab"/>
      <w:lvlText w:val="5.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bullet"/>
      <w:isLgl w:val="false"/>
      <w:suff w:val="tab"/>
      <w:lvlText w:val=""/>
      <w:lvlJc w:val="left"/>
      <w:pPr>
        <w:ind w:left="1288" w:hanging="720"/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pStyle w:val="1216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pStyle w:val="1201"/>
      <w:isLgl w:val="false"/>
      <w:suff w:val="tab"/>
      <w:lvlText w:val="%1."/>
      <w:lvlJc w:val="left"/>
      <w:pPr>
        <w:ind w:left="1200" w:hanging="1200"/>
        <w:tabs>
          <w:tab w:val="num" w:pos="1200" w:leader="none"/>
        </w:tabs>
      </w:pPr>
      <w:rPr>
        <w:rFonts w:cs="Times New Roman"/>
      </w:rPr>
    </w:lvl>
    <w:lvl w:ilvl="1">
      <w:start w:val="1"/>
      <w:numFmt w:val="decimal"/>
      <w:pStyle w:val="1197"/>
      <w:isLgl w:val="false"/>
      <w:suff w:val="tab"/>
      <w:lvlText w:val="%1.%2."/>
      <w:lvlJc w:val="left"/>
      <w:pPr>
        <w:ind w:left="1920" w:hanging="1200"/>
        <w:tabs>
          <w:tab w:val="num" w:pos="192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16" w:hanging="1200"/>
        <w:tabs>
          <w:tab w:val="num" w:pos="261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4" w:hanging="1200"/>
        <w:tabs>
          <w:tab w:val="num" w:pos="3324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32" w:hanging="1200"/>
        <w:tabs>
          <w:tab w:val="num" w:pos="40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  <w:tabs>
          <w:tab w:val="num" w:pos="49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  <w:tabs>
          <w:tab w:val="num" w:pos="6048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  <w:tabs>
          <w:tab w:val="num" w:pos="67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  <w:tabs>
          <w:tab w:val="num" w:pos="7824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620" w:hanging="720"/>
        <w:tabs>
          <w:tab w:val="num" w:pos="16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620" w:hanging="720"/>
        <w:tabs>
          <w:tab w:val="num" w:pos="16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  <w:tabs>
          <w:tab w:val="num" w:pos="1429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3"/>
  </w:num>
  <w:num w:numId="5">
    <w:abstractNumId w:val="21"/>
  </w:num>
  <w:num w:numId="6">
    <w:abstractNumId w:val="2"/>
  </w:num>
  <w:num w:numId="7">
    <w:abstractNumId w:val="8"/>
  </w:num>
  <w:num w:numId="8">
    <w:abstractNumId w:val="15"/>
  </w:num>
  <w:num w:numId="9">
    <w:abstractNumId w:val="12"/>
  </w:num>
  <w:num w:numId="10">
    <w:abstractNumId w:val="5"/>
  </w:num>
  <w:num w:numId="11">
    <w:abstractNumId w:val="16"/>
  </w:num>
  <w:num w:numId="12">
    <w:abstractNumId w:val="4"/>
  </w:num>
  <w:num w:numId="13">
    <w:abstractNumId w:val="17"/>
  </w:num>
  <w:num w:numId="14">
    <w:abstractNumId w:val="11"/>
  </w:num>
  <w:num w:numId="15">
    <w:abstractNumId w:val="10"/>
  </w:num>
  <w:num w:numId="16">
    <w:abstractNumId w:val="13"/>
  </w:num>
  <w:num w:numId="17">
    <w:abstractNumId w:val="19"/>
  </w:num>
  <w:num w:numId="18">
    <w:abstractNumId w:val="20"/>
  </w:num>
  <w:num w:numId="19">
    <w:abstractNumId w:val="1"/>
  </w:num>
  <w:num w:numId="20">
    <w:abstractNumId w:val="7"/>
  </w:num>
  <w:num w:numId="21">
    <w:abstractNumId w:val="14"/>
  </w:num>
  <w:num w:numId="22">
    <w:abstractNumId w:val="9"/>
    <w:lvlOverride w:ilvl="0">
      <w:startOverride w:val="1"/>
    </w:lvlOverride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94">
    <w:name w:val="Heading 1"/>
    <w:basedOn w:val="1167"/>
    <w:next w:val="1167"/>
    <w:link w:val="9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95">
    <w:name w:val="Heading 1 Char"/>
    <w:link w:val="994"/>
    <w:uiPriority w:val="9"/>
    <w:rPr>
      <w:rFonts w:ascii="Arial" w:hAnsi="Arial" w:eastAsia="Arial" w:cs="Arial"/>
      <w:sz w:val="40"/>
      <w:szCs w:val="40"/>
    </w:rPr>
  </w:style>
  <w:style w:type="character" w:styleId="996">
    <w:name w:val="Heading 2 Char"/>
    <w:link w:val="1269"/>
    <w:uiPriority w:val="9"/>
    <w:rPr>
      <w:rFonts w:ascii="Arial" w:hAnsi="Arial" w:eastAsia="Arial" w:cs="Arial"/>
      <w:sz w:val="34"/>
    </w:rPr>
  </w:style>
  <w:style w:type="character" w:styleId="997">
    <w:name w:val="Heading 3 Char"/>
    <w:link w:val="1266"/>
    <w:uiPriority w:val="9"/>
    <w:rPr>
      <w:rFonts w:ascii="Arial" w:hAnsi="Arial" w:eastAsia="Arial" w:cs="Arial"/>
      <w:sz w:val="30"/>
      <w:szCs w:val="30"/>
    </w:rPr>
  </w:style>
  <w:style w:type="paragraph" w:styleId="998">
    <w:name w:val="Heading 4"/>
    <w:basedOn w:val="1167"/>
    <w:next w:val="1167"/>
    <w:link w:val="9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99">
    <w:name w:val="Heading 4 Char"/>
    <w:link w:val="998"/>
    <w:uiPriority w:val="9"/>
    <w:rPr>
      <w:rFonts w:ascii="Arial" w:hAnsi="Arial" w:eastAsia="Arial" w:cs="Arial"/>
      <w:b/>
      <w:bCs/>
      <w:sz w:val="26"/>
      <w:szCs w:val="26"/>
    </w:rPr>
  </w:style>
  <w:style w:type="paragraph" w:styleId="1000">
    <w:name w:val="Heading 5"/>
    <w:basedOn w:val="1167"/>
    <w:next w:val="1167"/>
    <w:link w:val="10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01">
    <w:name w:val="Heading 5 Char"/>
    <w:link w:val="1000"/>
    <w:uiPriority w:val="9"/>
    <w:rPr>
      <w:rFonts w:ascii="Arial" w:hAnsi="Arial" w:eastAsia="Arial" w:cs="Arial"/>
      <w:b/>
      <w:bCs/>
      <w:sz w:val="24"/>
      <w:szCs w:val="24"/>
    </w:rPr>
  </w:style>
  <w:style w:type="paragraph" w:styleId="1002">
    <w:name w:val="Heading 6"/>
    <w:basedOn w:val="1167"/>
    <w:next w:val="1167"/>
    <w:link w:val="10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03">
    <w:name w:val="Heading 6 Char"/>
    <w:link w:val="1002"/>
    <w:uiPriority w:val="9"/>
    <w:rPr>
      <w:rFonts w:ascii="Arial" w:hAnsi="Arial" w:eastAsia="Arial" w:cs="Arial"/>
      <w:b/>
      <w:bCs/>
      <w:sz w:val="22"/>
      <w:szCs w:val="22"/>
    </w:rPr>
  </w:style>
  <w:style w:type="paragraph" w:styleId="1004">
    <w:name w:val="Heading 7"/>
    <w:basedOn w:val="1167"/>
    <w:next w:val="1167"/>
    <w:link w:val="10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05">
    <w:name w:val="Heading 7 Char"/>
    <w:link w:val="10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06">
    <w:name w:val="Heading 8"/>
    <w:basedOn w:val="1167"/>
    <w:next w:val="1167"/>
    <w:link w:val="10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07">
    <w:name w:val="Heading 8 Char"/>
    <w:link w:val="1006"/>
    <w:uiPriority w:val="9"/>
    <w:rPr>
      <w:rFonts w:ascii="Arial" w:hAnsi="Arial" w:eastAsia="Arial" w:cs="Arial"/>
      <w:i/>
      <w:iCs/>
      <w:sz w:val="22"/>
      <w:szCs w:val="22"/>
    </w:rPr>
  </w:style>
  <w:style w:type="paragraph" w:styleId="1008">
    <w:name w:val="Heading 9"/>
    <w:basedOn w:val="1167"/>
    <w:next w:val="1167"/>
    <w:link w:val="10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09">
    <w:name w:val="Heading 9 Char"/>
    <w:link w:val="1008"/>
    <w:uiPriority w:val="9"/>
    <w:rPr>
      <w:rFonts w:ascii="Arial" w:hAnsi="Arial" w:eastAsia="Arial" w:cs="Arial"/>
      <w:i/>
      <w:iCs/>
      <w:sz w:val="21"/>
      <w:szCs w:val="21"/>
    </w:rPr>
  </w:style>
  <w:style w:type="paragraph" w:styleId="1010">
    <w:name w:val="Title"/>
    <w:basedOn w:val="1167"/>
    <w:next w:val="1167"/>
    <w:link w:val="10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11">
    <w:name w:val="Title Char"/>
    <w:link w:val="1010"/>
    <w:uiPriority w:val="10"/>
    <w:rPr>
      <w:sz w:val="48"/>
      <w:szCs w:val="48"/>
    </w:rPr>
  </w:style>
  <w:style w:type="paragraph" w:styleId="1012">
    <w:name w:val="Subtitle"/>
    <w:basedOn w:val="1167"/>
    <w:next w:val="1167"/>
    <w:link w:val="1013"/>
    <w:uiPriority w:val="11"/>
    <w:qFormat/>
    <w:pPr>
      <w:spacing w:before="200" w:after="200"/>
    </w:pPr>
    <w:rPr>
      <w:sz w:val="24"/>
      <w:szCs w:val="24"/>
    </w:rPr>
  </w:style>
  <w:style w:type="character" w:styleId="1013">
    <w:name w:val="Subtitle Char"/>
    <w:link w:val="1012"/>
    <w:uiPriority w:val="11"/>
    <w:rPr>
      <w:sz w:val="24"/>
      <w:szCs w:val="24"/>
    </w:rPr>
  </w:style>
  <w:style w:type="paragraph" w:styleId="1014">
    <w:name w:val="Quote"/>
    <w:basedOn w:val="1167"/>
    <w:next w:val="1167"/>
    <w:link w:val="1015"/>
    <w:uiPriority w:val="29"/>
    <w:qFormat/>
    <w:pPr>
      <w:ind w:left="720" w:right="720"/>
    </w:pPr>
    <w:rPr>
      <w:i/>
    </w:rPr>
  </w:style>
  <w:style w:type="character" w:styleId="1015">
    <w:name w:val="Quote Char"/>
    <w:link w:val="1014"/>
    <w:uiPriority w:val="29"/>
    <w:rPr>
      <w:i/>
    </w:rPr>
  </w:style>
  <w:style w:type="paragraph" w:styleId="1016">
    <w:name w:val="Intense Quote"/>
    <w:basedOn w:val="1167"/>
    <w:next w:val="1167"/>
    <w:link w:val="10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17">
    <w:name w:val="Intense Quote Char"/>
    <w:link w:val="1016"/>
    <w:uiPriority w:val="30"/>
    <w:rPr>
      <w:i/>
    </w:rPr>
  </w:style>
  <w:style w:type="paragraph" w:styleId="1018">
    <w:name w:val="Header"/>
    <w:basedOn w:val="1167"/>
    <w:link w:val="10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019">
    <w:name w:val="Header Char"/>
    <w:link w:val="1018"/>
    <w:uiPriority w:val="99"/>
  </w:style>
  <w:style w:type="paragraph" w:styleId="1020">
    <w:name w:val="Footer"/>
    <w:basedOn w:val="1167"/>
    <w:link w:val="10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021">
    <w:name w:val="Footer Char"/>
    <w:link w:val="1020"/>
    <w:uiPriority w:val="99"/>
  </w:style>
  <w:style w:type="paragraph" w:styleId="1022">
    <w:name w:val="Caption"/>
    <w:basedOn w:val="1167"/>
    <w:next w:val="11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23">
    <w:name w:val="Caption Char"/>
    <w:basedOn w:val="1022"/>
    <w:link w:val="1020"/>
    <w:uiPriority w:val="99"/>
  </w:style>
  <w:style w:type="table" w:styleId="10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50">
    <w:name w:val="Hyperlink"/>
    <w:uiPriority w:val="99"/>
    <w:unhideWhenUsed/>
    <w:rPr>
      <w:color w:val="0000ff" w:themeColor="hyperlink"/>
      <w:u w:val="single"/>
    </w:rPr>
  </w:style>
  <w:style w:type="paragraph" w:styleId="1151">
    <w:name w:val="footnote text"/>
    <w:basedOn w:val="1167"/>
    <w:link w:val="1152"/>
    <w:uiPriority w:val="99"/>
    <w:semiHidden/>
    <w:unhideWhenUsed/>
    <w:pPr>
      <w:spacing w:after="40" w:line="240" w:lineRule="auto"/>
    </w:pPr>
    <w:rPr>
      <w:sz w:val="18"/>
    </w:rPr>
  </w:style>
  <w:style w:type="character" w:styleId="1152">
    <w:name w:val="Footnote Text Char"/>
    <w:link w:val="1151"/>
    <w:uiPriority w:val="99"/>
    <w:rPr>
      <w:sz w:val="18"/>
    </w:rPr>
  </w:style>
  <w:style w:type="character" w:styleId="1153">
    <w:name w:val="footnote reference"/>
    <w:uiPriority w:val="99"/>
    <w:unhideWhenUsed/>
    <w:rPr>
      <w:vertAlign w:val="superscript"/>
    </w:rPr>
  </w:style>
  <w:style w:type="paragraph" w:styleId="1154">
    <w:name w:val="endnote text"/>
    <w:basedOn w:val="1167"/>
    <w:link w:val="1155"/>
    <w:uiPriority w:val="99"/>
    <w:semiHidden/>
    <w:unhideWhenUsed/>
    <w:pPr>
      <w:spacing w:after="0" w:line="240" w:lineRule="auto"/>
    </w:pPr>
    <w:rPr>
      <w:sz w:val="20"/>
    </w:rPr>
  </w:style>
  <w:style w:type="character" w:styleId="1155">
    <w:name w:val="Endnote Text Char"/>
    <w:link w:val="1154"/>
    <w:uiPriority w:val="99"/>
    <w:rPr>
      <w:sz w:val="20"/>
    </w:rPr>
  </w:style>
  <w:style w:type="character" w:styleId="1156">
    <w:name w:val="endnote reference"/>
    <w:uiPriority w:val="99"/>
    <w:semiHidden/>
    <w:unhideWhenUsed/>
    <w:rPr>
      <w:vertAlign w:val="superscript"/>
    </w:rPr>
  </w:style>
  <w:style w:type="paragraph" w:styleId="1157">
    <w:name w:val="toc 1"/>
    <w:basedOn w:val="1167"/>
    <w:next w:val="1167"/>
    <w:uiPriority w:val="39"/>
    <w:unhideWhenUsed/>
    <w:pPr>
      <w:ind w:left="0" w:right="0" w:firstLine="0"/>
      <w:spacing w:after="57"/>
    </w:pPr>
  </w:style>
  <w:style w:type="paragraph" w:styleId="1158">
    <w:name w:val="toc 2"/>
    <w:basedOn w:val="1167"/>
    <w:next w:val="1167"/>
    <w:uiPriority w:val="39"/>
    <w:unhideWhenUsed/>
    <w:pPr>
      <w:ind w:left="283" w:right="0" w:firstLine="0"/>
      <w:spacing w:after="57"/>
    </w:pPr>
  </w:style>
  <w:style w:type="paragraph" w:styleId="1159">
    <w:name w:val="toc 3"/>
    <w:basedOn w:val="1167"/>
    <w:next w:val="1167"/>
    <w:uiPriority w:val="39"/>
    <w:unhideWhenUsed/>
    <w:pPr>
      <w:ind w:left="567" w:right="0" w:firstLine="0"/>
      <w:spacing w:after="57"/>
    </w:pPr>
  </w:style>
  <w:style w:type="paragraph" w:styleId="1160">
    <w:name w:val="toc 4"/>
    <w:basedOn w:val="1167"/>
    <w:next w:val="1167"/>
    <w:uiPriority w:val="39"/>
    <w:unhideWhenUsed/>
    <w:pPr>
      <w:ind w:left="850" w:right="0" w:firstLine="0"/>
      <w:spacing w:after="57"/>
    </w:pPr>
  </w:style>
  <w:style w:type="paragraph" w:styleId="1161">
    <w:name w:val="toc 5"/>
    <w:basedOn w:val="1167"/>
    <w:next w:val="1167"/>
    <w:uiPriority w:val="39"/>
    <w:unhideWhenUsed/>
    <w:pPr>
      <w:ind w:left="1134" w:right="0" w:firstLine="0"/>
      <w:spacing w:after="57"/>
    </w:pPr>
  </w:style>
  <w:style w:type="paragraph" w:styleId="1162">
    <w:name w:val="toc 6"/>
    <w:basedOn w:val="1167"/>
    <w:next w:val="1167"/>
    <w:uiPriority w:val="39"/>
    <w:unhideWhenUsed/>
    <w:pPr>
      <w:ind w:left="1417" w:right="0" w:firstLine="0"/>
      <w:spacing w:after="57"/>
    </w:pPr>
  </w:style>
  <w:style w:type="paragraph" w:styleId="1163">
    <w:name w:val="toc 7"/>
    <w:basedOn w:val="1167"/>
    <w:next w:val="1167"/>
    <w:uiPriority w:val="39"/>
    <w:unhideWhenUsed/>
    <w:pPr>
      <w:ind w:left="1701" w:right="0" w:firstLine="0"/>
      <w:spacing w:after="57"/>
    </w:pPr>
  </w:style>
  <w:style w:type="paragraph" w:styleId="1164">
    <w:name w:val="toc 8"/>
    <w:basedOn w:val="1167"/>
    <w:next w:val="1167"/>
    <w:uiPriority w:val="39"/>
    <w:unhideWhenUsed/>
    <w:pPr>
      <w:ind w:left="1984" w:right="0" w:firstLine="0"/>
      <w:spacing w:after="57"/>
    </w:pPr>
  </w:style>
  <w:style w:type="paragraph" w:styleId="1165">
    <w:name w:val="toc 9"/>
    <w:basedOn w:val="1167"/>
    <w:next w:val="1167"/>
    <w:uiPriority w:val="39"/>
    <w:unhideWhenUsed/>
    <w:pPr>
      <w:ind w:left="2268" w:right="0" w:firstLine="0"/>
      <w:spacing w:after="57"/>
    </w:pPr>
  </w:style>
  <w:style w:type="paragraph" w:styleId="1166">
    <w:name w:val="table of figures"/>
    <w:basedOn w:val="1167"/>
    <w:next w:val="1167"/>
    <w:uiPriority w:val="99"/>
    <w:unhideWhenUsed/>
    <w:pPr>
      <w:spacing w:after="0" w:afterAutospacing="0"/>
    </w:pPr>
  </w:style>
  <w:style w:type="paragraph" w:styleId="1167" w:default="1">
    <w:name w:val="Normal"/>
    <w:next w:val="1167"/>
    <w:link w:val="1167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1168">
    <w:name w:val="Заголовок 1,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1167"/>
    <w:next w:val="1167"/>
    <w:link w:val="1180"/>
    <w:uiPriority w:val="99"/>
    <w:qFormat/>
    <w:pPr>
      <w:numPr>
        <w:ilvl w:val="0"/>
        <w:numId w:val="1"/>
      </w:numPr>
      <w:ind w:left="0" w:firstLine="0"/>
      <w:jc w:val="center"/>
      <w:keepLines/>
      <w:keepNext/>
      <w:spacing w:before="60" w:after="120" w:line="240" w:lineRule="auto"/>
      <w:outlineLvl w:val="0"/>
    </w:pPr>
    <w:rPr>
      <w:rFonts w:ascii="Times New Roman" w:hAnsi="Times New Roman" w:eastAsia="Calibri"/>
      <w:b/>
      <w:bCs/>
      <w:sz w:val="32"/>
      <w:szCs w:val="32"/>
      <w:lang w:val="en-US" w:eastAsia="en-US"/>
    </w:rPr>
  </w:style>
  <w:style w:type="paragraph" w:styleId="1169">
    <w:name w:val="Заголовок 2,Heading 2 Hidden,H2,h2,Numbered text 3,Название Раздела"/>
    <w:basedOn w:val="1167"/>
    <w:next w:val="1167"/>
    <w:link w:val="1181"/>
    <w:uiPriority w:val="99"/>
    <w:qFormat/>
    <w:pPr>
      <w:numPr>
        <w:ilvl w:val="3"/>
        <w:numId w:val="0"/>
      </w:numPr>
      <w:ind w:left="709" w:hanging="360"/>
      <w:keepLines/>
      <w:keepNext/>
      <w:spacing w:before="240" w:after="120" w:line="240" w:lineRule="auto"/>
      <w:outlineLvl w:val="1"/>
    </w:pPr>
    <w:rPr>
      <w:rFonts w:ascii="Times New Roman" w:hAnsi="Times New Roman" w:eastAsia="Calibri"/>
      <w:b/>
      <w:bCs/>
      <w:sz w:val="28"/>
      <w:szCs w:val="26"/>
      <w:lang w:eastAsia="ru-RU"/>
    </w:rPr>
  </w:style>
  <w:style w:type="paragraph" w:styleId="1170">
    <w:name w:val="Заголовок 3"/>
    <w:basedOn w:val="1167"/>
    <w:next w:val="1167"/>
    <w:link w:val="1182"/>
    <w:uiPriority w:val="99"/>
    <w:qFormat/>
    <w:pPr>
      <w:numPr>
        <w:ilvl w:val="2"/>
        <w:numId w:val="1"/>
      </w:numPr>
      <w:keepLines/>
      <w:keepNext/>
      <w:spacing w:before="200" w:after="0" w:line="240" w:lineRule="auto"/>
      <w:outlineLvl w:val="2"/>
    </w:pPr>
    <w:rPr>
      <w:rFonts w:ascii="Cambria" w:hAnsi="Cambria" w:eastAsia="Calibri"/>
      <w:b/>
      <w:bCs/>
      <w:color w:val="4f81bd"/>
      <w:sz w:val="24"/>
      <w:szCs w:val="24"/>
      <w:lang w:val="en-US" w:eastAsia="en-US"/>
    </w:rPr>
  </w:style>
  <w:style w:type="paragraph" w:styleId="1171">
    <w:name w:val="Заголовок 4,Heading 4 Char1,Heading 4 Char Char,Заголовок_приложения,Заголовок 4 (Приложение)"/>
    <w:basedOn w:val="1167"/>
    <w:next w:val="1167"/>
    <w:link w:val="1183"/>
    <w:uiPriority w:val="99"/>
    <w:qFormat/>
    <w:pPr>
      <w:numPr>
        <w:ilvl w:val="3"/>
        <w:numId w:val="1"/>
      </w:numPr>
      <w:keepLines/>
      <w:keepNext/>
      <w:spacing w:before="200" w:after="0" w:line="240" w:lineRule="auto"/>
      <w:outlineLvl w:val="3"/>
    </w:pPr>
    <w:rPr>
      <w:rFonts w:ascii="Cambria" w:hAnsi="Cambria" w:eastAsia="Calibri"/>
      <w:b/>
      <w:bCs/>
      <w:i/>
      <w:iCs/>
      <w:color w:val="4f81bd"/>
      <w:sz w:val="24"/>
      <w:szCs w:val="24"/>
      <w:lang w:val="en-US" w:eastAsia="en-US"/>
    </w:rPr>
  </w:style>
  <w:style w:type="paragraph" w:styleId="1172">
    <w:name w:val="Заголовок 5,Знак,H5,PIM 5,5,ITT t5,PA Pico Section"/>
    <w:basedOn w:val="1167"/>
    <w:next w:val="1167"/>
    <w:link w:val="1184"/>
    <w:uiPriority w:val="99"/>
    <w:qFormat/>
    <w:pPr>
      <w:numPr>
        <w:ilvl w:val="4"/>
        <w:numId w:val="1"/>
      </w:numPr>
      <w:keepLines/>
      <w:keepNext/>
      <w:spacing w:before="200" w:after="0" w:line="240" w:lineRule="auto"/>
      <w:outlineLvl w:val="4"/>
    </w:pPr>
    <w:rPr>
      <w:rFonts w:ascii="Cambria" w:hAnsi="Cambria" w:eastAsia="Calibri"/>
      <w:color w:val="243f60"/>
      <w:sz w:val="24"/>
      <w:szCs w:val="24"/>
      <w:lang w:val="en-US" w:eastAsia="en-US"/>
    </w:rPr>
  </w:style>
  <w:style w:type="paragraph" w:styleId="1173">
    <w:name w:val="Заголовок 6,H6,PIM 6"/>
    <w:basedOn w:val="1167"/>
    <w:next w:val="1167"/>
    <w:link w:val="1185"/>
    <w:uiPriority w:val="99"/>
    <w:qFormat/>
    <w:pPr>
      <w:numPr>
        <w:ilvl w:val="5"/>
        <w:numId w:val="1"/>
      </w:numPr>
      <w:keepLines/>
      <w:keepNext/>
      <w:spacing w:before="200" w:after="0" w:line="240" w:lineRule="auto"/>
      <w:outlineLvl w:val="5"/>
    </w:pPr>
    <w:rPr>
      <w:rFonts w:ascii="Cambria" w:hAnsi="Cambria" w:eastAsia="Calibri"/>
      <w:i/>
      <w:iCs/>
      <w:color w:val="243f60"/>
      <w:sz w:val="24"/>
      <w:szCs w:val="24"/>
      <w:lang w:val="en-US" w:eastAsia="en-US"/>
    </w:rPr>
  </w:style>
  <w:style w:type="paragraph" w:styleId="1174">
    <w:name w:val="Заголовок 7"/>
    <w:basedOn w:val="1167"/>
    <w:next w:val="1167"/>
    <w:link w:val="1186"/>
    <w:uiPriority w:val="99"/>
    <w:qFormat/>
    <w:pPr>
      <w:numPr>
        <w:ilvl w:val="6"/>
        <w:numId w:val="1"/>
      </w:numPr>
      <w:keepLines/>
      <w:keepNext/>
      <w:spacing w:before="200" w:after="0" w:line="240" w:lineRule="auto"/>
      <w:outlineLvl w:val="6"/>
    </w:pPr>
    <w:rPr>
      <w:rFonts w:ascii="Cambria" w:hAnsi="Cambria" w:eastAsia="Calibri"/>
      <w:i/>
      <w:iCs/>
      <w:color w:val="404040"/>
      <w:sz w:val="24"/>
      <w:szCs w:val="24"/>
      <w:lang w:val="en-US" w:eastAsia="en-US"/>
    </w:rPr>
  </w:style>
  <w:style w:type="paragraph" w:styleId="1175">
    <w:name w:val="Заголовок 8"/>
    <w:basedOn w:val="1167"/>
    <w:next w:val="1167"/>
    <w:link w:val="1187"/>
    <w:uiPriority w:val="99"/>
    <w:qFormat/>
    <w:pPr>
      <w:numPr>
        <w:ilvl w:val="7"/>
        <w:numId w:val="1"/>
      </w:numPr>
      <w:keepLines/>
      <w:keepNext/>
      <w:spacing w:before="200" w:after="0" w:line="240" w:lineRule="auto"/>
      <w:outlineLvl w:val="7"/>
    </w:pPr>
    <w:rPr>
      <w:rFonts w:ascii="Cambria" w:hAnsi="Cambria" w:eastAsia="Calibri"/>
      <w:color w:val="404040"/>
      <w:sz w:val="20"/>
      <w:szCs w:val="20"/>
      <w:lang w:val="en-US" w:eastAsia="en-US"/>
    </w:rPr>
  </w:style>
  <w:style w:type="paragraph" w:styleId="1176">
    <w:name w:val="Заголовок 9"/>
    <w:basedOn w:val="1167"/>
    <w:next w:val="1167"/>
    <w:link w:val="1188"/>
    <w:uiPriority w:val="99"/>
    <w:qFormat/>
    <w:pPr>
      <w:numPr>
        <w:ilvl w:val="8"/>
        <w:numId w:val="1"/>
      </w:numPr>
      <w:keepLines/>
      <w:keepNext/>
      <w:spacing w:before="200" w:after="0" w:line="240" w:lineRule="auto"/>
      <w:outlineLvl w:val="8"/>
    </w:pPr>
    <w:rPr>
      <w:rFonts w:ascii="Cambria" w:hAnsi="Cambria" w:eastAsia="Calibri"/>
      <w:i/>
      <w:iCs/>
      <w:color w:val="404040"/>
      <w:sz w:val="20"/>
      <w:szCs w:val="20"/>
      <w:lang w:val="en-US" w:eastAsia="en-US"/>
    </w:rPr>
  </w:style>
  <w:style w:type="character" w:styleId="1177">
    <w:name w:val="Основной шрифт абзаца"/>
    <w:next w:val="1177"/>
    <w:link w:val="1167"/>
    <w:semiHidden/>
  </w:style>
  <w:style w:type="table" w:styleId="1178">
    <w:name w:val="Обычная таблица"/>
    <w:next w:val="1178"/>
    <w:link w:val="1167"/>
    <w:semiHidden/>
    <w:tblPr/>
  </w:style>
  <w:style w:type="numbering" w:styleId="1179">
    <w:name w:val="Нет списка"/>
    <w:next w:val="1179"/>
    <w:link w:val="1167"/>
    <w:uiPriority w:val="99"/>
    <w:semiHidden/>
  </w:style>
  <w:style w:type="character" w:styleId="1180">
    <w:name w:val="Заголовок 1 Знак,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next w:val="1180"/>
    <w:link w:val="1168"/>
    <w:uiPriority w:val="99"/>
    <w:rPr>
      <w:rFonts w:eastAsia="Calibri"/>
      <w:b/>
      <w:bCs/>
      <w:sz w:val="32"/>
      <w:szCs w:val="32"/>
    </w:rPr>
  </w:style>
  <w:style w:type="character" w:styleId="1181">
    <w:name w:val="Заголовок 2 Знак,Heading 2 Hidden Знак,H2 Знак,h2 Знак,Numbered text 3 Знак,Название Раздела Знак"/>
    <w:next w:val="1181"/>
    <w:link w:val="1169"/>
    <w:uiPriority w:val="99"/>
    <w:rPr>
      <w:rFonts w:eastAsia="Calibri"/>
      <w:b/>
      <w:bCs/>
      <w:sz w:val="28"/>
      <w:szCs w:val="26"/>
      <w:lang w:val="ru-RU" w:eastAsia="ru-RU" w:bidi="ar-SA"/>
    </w:rPr>
  </w:style>
  <w:style w:type="character" w:styleId="1182">
    <w:name w:val="Заголовок 3 Знак"/>
    <w:next w:val="1182"/>
    <w:link w:val="1170"/>
    <w:uiPriority w:val="99"/>
    <w:rPr>
      <w:rFonts w:ascii="Cambria" w:hAnsi="Cambria" w:eastAsia="Calibri"/>
      <w:b/>
      <w:bCs/>
      <w:color w:val="4f81bd"/>
      <w:sz w:val="24"/>
      <w:szCs w:val="24"/>
    </w:rPr>
  </w:style>
  <w:style w:type="character" w:styleId="1183">
    <w:name w:val="Заголовок 4 Знак,Heading 4 Char1 Знак,Heading 4 Char Char Знак,Заголовок_приложения Знак,Заголовок 4 (Приложение) Знак"/>
    <w:next w:val="1183"/>
    <w:link w:val="1171"/>
    <w:uiPriority w:val="99"/>
    <w:rPr>
      <w:rFonts w:ascii="Cambria" w:hAnsi="Cambria" w:eastAsia="Calibri"/>
      <w:b/>
      <w:bCs/>
      <w:i/>
      <w:iCs/>
      <w:color w:val="4f81bd"/>
      <w:sz w:val="24"/>
      <w:szCs w:val="24"/>
    </w:rPr>
  </w:style>
  <w:style w:type="character" w:styleId="1184">
    <w:name w:val="Заголовок 5 Знак,Знак Знак,H5 Знак,PIM 5 Знак,5 Знак,ITT t5 Знак,PA Pico Section Знак"/>
    <w:next w:val="1184"/>
    <w:link w:val="1172"/>
    <w:uiPriority w:val="99"/>
    <w:rPr>
      <w:rFonts w:ascii="Cambria" w:hAnsi="Cambria" w:eastAsia="Calibri"/>
      <w:color w:val="243f60"/>
      <w:sz w:val="24"/>
      <w:szCs w:val="24"/>
    </w:rPr>
  </w:style>
  <w:style w:type="character" w:styleId="1185">
    <w:name w:val="Заголовок 6 Знак,H6 Знак,PIM 6 Знак"/>
    <w:next w:val="1185"/>
    <w:link w:val="1173"/>
    <w:uiPriority w:val="99"/>
    <w:rPr>
      <w:rFonts w:ascii="Cambria" w:hAnsi="Cambria" w:eastAsia="Calibri"/>
      <w:i/>
      <w:iCs/>
      <w:color w:val="243f60"/>
      <w:sz w:val="24"/>
      <w:szCs w:val="24"/>
    </w:rPr>
  </w:style>
  <w:style w:type="character" w:styleId="1186">
    <w:name w:val="Заголовок 7 Знак"/>
    <w:next w:val="1186"/>
    <w:link w:val="1174"/>
    <w:uiPriority w:val="99"/>
    <w:rPr>
      <w:rFonts w:ascii="Cambria" w:hAnsi="Cambria" w:eastAsia="Calibri"/>
      <w:i/>
      <w:iCs/>
      <w:color w:val="404040"/>
      <w:sz w:val="24"/>
      <w:szCs w:val="24"/>
    </w:rPr>
  </w:style>
  <w:style w:type="character" w:styleId="1187">
    <w:name w:val="Заголовок 8 Знак"/>
    <w:next w:val="1187"/>
    <w:link w:val="1175"/>
    <w:uiPriority w:val="99"/>
    <w:rPr>
      <w:rFonts w:ascii="Cambria" w:hAnsi="Cambria" w:eastAsia="Calibri"/>
      <w:color w:val="404040"/>
    </w:rPr>
  </w:style>
  <w:style w:type="character" w:styleId="1188">
    <w:name w:val="Заголовок 9 Знак"/>
    <w:next w:val="1188"/>
    <w:link w:val="1176"/>
    <w:uiPriority w:val="99"/>
    <w:rPr>
      <w:rFonts w:ascii="Cambria" w:hAnsi="Cambria" w:eastAsia="Calibri"/>
      <w:i/>
      <w:iCs/>
      <w:color w:val="404040"/>
    </w:rPr>
  </w:style>
  <w:style w:type="paragraph" w:styleId="1189">
    <w:name w:val="Текст сноски"/>
    <w:basedOn w:val="1167"/>
    <w:next w:val="1189"/>
    <w:link w:val="1190"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1190">
    <w:name w:val="Текст сноски Знак"/>
    <w:next w:val="1190"/>
    <w:link w:val="1189"/>
    <w:uiPriority w:val="99"/>
    <w:rPr>
      <w:lang w:val="ru-RU" w:eastAsia="ru-RU" w:bidi="ar-SA"/>
    </w:rPr>
  </w:style>
  <w:style w:type="character" w:styleId="1191">
    <w:name w:val="Знак сноски"/>
    <w:next w:val="1191"/>
    <w:link w:val="1167"/>
    <w:uiPriority w:val="99"/>
    <w:rPr>
      <w:vertAlign w:val="superscript"/>
    </w:rPr>
  </w:style>
  <w:style w:type="paragraph" w:styleId="1192">
    <w:name w:val="Текст примечания"/>
    <w:basedOn w:val="1167"/>
    <w:next w:val="1192"/>
    <w:link w:val="1193"/>
    <w:uiPriority w:val="99"/>
    <w:pPr>
      <w:spacing w:after="0" w:line="240" w:lineRule="auto"/>
    </w:pPr>
    <w:rPr>
      <w:rFonts w:ascii="Times New Roman" w:hAnsi="Times New Roman" w:eastAsia="Calibri"/>
      <w:sz w:val="20"/>
      <w:szCs w:val="20"/>
      <w:lang w:eastAsia="ru-RU"/>
    </w:rPr>
  </w:style>
  <w:style w:type="character" w:styleId="1193">
    <w:name w:val="Текст примечания Знак"/>
    <w:next w:val="1193"/>
    <w:link w:val="1192"/>
    <w:uiPriority w:val="99"/>
    <w:rPr>
      <w:rFonts w:eastAsia="Calibri"/>
      <w:lang w:val="ru-RU" w:eastAsia="ru-RU" w:bidi="ar-SA"/>
    </w:rPr>
  </w:style>
  <w:style w:type="paragraph" w:styleId="1194">
    <w:name w:val="Основной текст 2"/>
    <w:basedOn w:val="1167"/>
    <w:next w:val="1194"/>
    <w:link w:val="1167"/>
    <w:pPr>
      <w:spacing w:after="120" w:line="480" w:lineRule="auto"/>
    </w:pPr>
    <w:rPr>
      <w:rFonts w:ascii="Times New Roman" w:hAnsi="Times New Roman" w:eastAsia="Calibri"/>
      <w:sz w:val="24"/>
      <w:szCs w:val="24"/>
      <w:lang w:eastAsia="ru-RU"/>
    </w:rPr>
  </w:style>
  <w:style w:type="paragraph" w:styleId="1195">
    <w:name w:val="List Paragraph"/>
    <w:basedOn w:val="1167"/>
    <w:next w:val="1195"/>
    <w:link w:val="1196"/>
    <w:qFormat/>
    <w:pPr>
      <w:contextualSpacing/>
      <w:ind w:left="720"/>
    </w:pPr>
  </w:style>
  <w:style w:type="character" w:styleId="1196">
    <w:name w:val="List Paragraph Char"/>
    <w:next w:val="1196"/>
    <w:link w:val="1195"/>
    <w:rPr>
      <w:rFonts w:ascii="Calibri" w:hAnsi="Calibri"/>
      <w:sz w:val="22"/>
      <w:szCs w:val="22"/>
      <w:lang w:val="ru-RU" w:eastAsia="en-US" w:bidi="ar-SA"/>
    </w:rPr>
  </w:style>
  <w:style w:type="paragraph" w:styleId="1197">
    <w:name w:val="МР заголовок2"/>
    <w:basedOn w:val="1195"/>
    <w:next w:val="1167"/>
    <w:link w:val="1198"/>
    <w:qFormat/>
    <w:pPr>
      <w:numPr>
        <w:ilvl w:val="1"/>
        <w:numId w:val="2"/>
      </w:numPr>
      <w:ind w:left="788" w:hanging="431"/>
      <w:keepLines/>
      <w:keepNext/>
      <w:spacing w:before="120" w:after="120" w:line="240" w:lineRule="auto"/>
      <w:outlineLvl w:val="1"/>
    </w:pPr>
    <w:rPr>
      <w:b/>
      <w:sz w:val="28"/>
      <w:szCs w:val="28"/>
    </w:rPr>
  </w:style>
  <w:style w:type="character" w:styleId="1198">
    <w:name w:val="МР заголовок2 Знак"/>
    <w:next w:val="1198"/>
    <w:link w:val="1197"/>
    <w:rPr>
      <w:rFonts w:ascii="Calibri" w:hAnsi="Calibri"/>
      <w:b/>
      <w:sz w:val="28"/>
      <w:szCs w:val="28"/>
      <w:lang w:val="ru-RU" w:eastAsia="en-US" w:bidi="ar-SA"/>
    </w:rPr>
  </w:style>
  <w:style w:type="character" w:styleId="1199">
    <w:name w:val=" Знак Знак11"/>
    <w:next w:val="1199"/>
    <w:link w:val="1167"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character" w:styleId="1200">
    <w:name w:val=" Знак Знак10"/>
    <w:next w:val="1200"/>
    <w:link w:val="1167"/>
    <w:rPr>
      <w:rFonts w:ascii="Times New Roman" w:hAnsi="Times New Roman" w:cs="Times New Roman"/>
      <w:sz w:val="20"/>
      <w:szCs w:val="20"/>
      <w:lang w:val="en-US" w:eastAsia="ru-RU"/>
    </w:rPr>
  </w:style>
  <w:style w:type="paragraph" w:styleId="1201">
    <w:name w:val="МР заголовок1"/>
    <w:basedOn w:val="1195"/>
    <w:next w:val="1197"/>
    <w:link w:val="1202"/>
    <w:qFormat/>
    <w:pPr>
      <w:numPr>
        <w:ilvl w:val="0"/>
        <w:numId w:val="2"/>
      </w:numPr>
      <w:ind w:left="357" w:hanging="357"/>
      <w:keepLines/>
      <w:keepNext/>
      <w:pageBreakBefore/>
      <w:spacing w:after="120" w:line="240" w:lineRule="auto"/>
      <w:outlineLvl w:val="0"/>
    </w:pPr>
    <w:rPr>
      <w:b/>
      <w:sz w:val="32"/>
      <w:szCs w:val="28"/>
    </w:rPr>
  </w:style>
  <w:style w:type="character" w:styleId="1202">
    <w:name w:val="МР заголовок1 Знак"/>
    <w:next w:val="1202"/>
    <w:link w:val="1201"/>
    <w:rPr>
      <w:rFonts w:ascii="Calibri" w:hAnsi="Calibri"/>
      <w:b/>
      <w:sz w:val="32"/>
      <w:szCs w:val="28"/>
      <w:lang w:val="ru-RU" w:eastAsia="en-US" w:bidi="ar-SA"/>
    </w:rPr>
  </w:style>
  <w:style w:type="paragraph" w:styleId="1203">
    <w:name w:val="Нижний колонтитул"/>
    <w:basedOn w:val="1167"/>
    <w:next w:val="1203"/>
    <w:link w:val="1204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204">
    <w:name w:val="Нижний колонтитул Знак"/>
    <w:next w:val="1204"/>
    <w:link w:val="1203"/>
    <w:uiPriority w:val="99"/>
    <w:rPr>
      <w:rFonts w:ascii="Calibri" w:hAnsi="Calibri"/>
      <w:sz w:val="22"/>
      <w:szCs w:val="22"/>
      <w:lang w:eastAsia="en-US"/>
    </w:rPr>
  </w:style>
  <w:style w:type="character" w:styleId="1205">
    <w:name w:val="Номер страницы"/>
    <w:basedOn w:val="1177"/>
    <w:next w:val="1205"/>
    <w:link w:val="1167"/>
  </w:style>
  <w:style w:type="paragraph" w:styleId="1206">
    <w:name w:val="Верхний колонтитул"/>
    <w:basedOn w:val="1167"/>
    <w:next w:val="1206"/>
    <w:link w:val="1207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207">
    <w:name w:val="Верхний колонтитул Знак"/>
    <w:next w:val="1207"/>
    <w:link w:val="1206"/>
    <w:uiPriority w:val="99"/>
    <w:rPr>
      <w:rFonts w:ascii="Calibri" w:hAnsi="Calibri"/>
      <w:sz w:val="22"/>
      <w:szCs w:val="22"/>
      <w:lang w:eastAsia="en-US"/>
    </w:rPr>
  </w:style>
  <w:style w:type="paragraph" w:styleId="1208">
    <w:name w:val="Основной текст"/>
    <w:basedOn w:val="1167"/>
    <w:next w:val="1208"/>
    <w:link w:val="1209"/>
    <w:uiPriority w:val="1"/>
    <w:qFormat/>
    <w:pPr>
      <w:spacing w:after="120"/>
    </w:pPr>
    <w:rPr>
      <w:lang w:val="en-US"/>
    </w:rPr>
  </w:style>
  <w:style w:type="character" w:styleId="1209">
    <w:name w:val="Основной текст Знак"/>
    <w:next w:val="1209"/>
    <w:link w:val="1208"/>
    <w:uiPriority w:val="1"/>
    <w:rPr>
      <w:rFonts w:ascii="Calibri" w:hAnsi="Calibri"/>
      <w:sz w:val="22"/>
      <w:szCs w:val="22"/>
      <w:lang w:eastAsia="en-US"/>
    </w:rPr>
  </w:style>
  <w:style w:type="paragraph" w:styleId="1210">
    <w:name w:val="Заголвки 1 уровня"/>
    <w:basedOn w:val="1168"/>
    <w:next w:val="1210"/>
    <w:link w:val="1211"/>
    <w:uiPriority w:val="99"/>
    <w:pPr>
      <w:numPr>
        <w:ilvl w:val="0"/>
        <w:numId w:val="0"/>
      </w:numPr>
      <w:jc w:val="right"/>
      <w:pageBreakBefore/>
      <w:spacing w:before="0" w:after="240"/>
    </w:pPr>
    <w:rPr>
      <w:rFonts w:eastAsia="Times New Roman"/>
      <w:bCs w:val="0"/>
      <w:szCs w:val="20"/>
    </w:rPr>
  </w:style>
  <w:style w:type="character" w:styleId="1211">
    <w:name w:val="Заголвки 1 уровня Знак"/>
    <w:next w:val="1211"/>
    <w:link w:val="1210"/>
    <w:uiPriority w:val="99"/>
    <w:rPr>
      <w:b/>
      <w:sz w:val="32"/>
      <w:lang w:val="en-US"/>
    </w:rPr>
  </w:style>
  <w:style w:type="paragraph" w:styleId="1212">
    <w:name w:val="Текст выноски"/>
    <w:basedOn w:val="1167"/>
    <w:next w:val="1212"/>
    <w:link w:val="1213"/>
    <w:uiPriority w:val="99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1213">
    <w:name w:val="Текст выноски Знак"/>
    <w:next w:val="1213"/>
    <w:link w:val="1212"/>
    <w:uiPriority w:val="99"/>
    <w:rPr>
      <w:rFonts w:ascii="Tahoma" w:hAnsi="Tahoma" w:cs="Tahoma"/>
      <w:sz w:val="16"/>
      <w:szCs w:val="16"/>
    </w:rPr>
  </w:style>
  <w:style w:type="character" w:styleId="1214">
    <w:name w:val="Знак примечания"/>
    <w:next w:val="1214"/>
    <w:link w:val="1167"/>
    <w:uiPriority w:val="99"/>
    <w:rPr>
      <w:rFonts w:cs="Times New Roman"/>
      <w:sz w:val="16"/>
    </w:rPr>
  </w:style>
  <w:style w:type="paragraph" w:styleId="1215">
    <w:name w:val="абзац 4.1"/>
    <w:basedOn w:val="1195"/>
    <w:next w:val="1215"/>
    <w:link w:val="1167"/>
    <w:uiPriority w:val="99"/>
    <w:pPr>
      <w:numPr>
        <w:ilvl w:val="0"/>
        <w:numId w:val="9"/>
      </w:numPr>
      <w:contextualSpacing w:val="0"/>
      <w:spacing w:before="360" w:after="120" w:line="240" w:lineRule="auto"/>
    </w:pPr>
    <w:rPr>
      <w:rFonts w:ascii="Times New Roman" w:hAnsi="Times New Roman"/>
      <w:b/>
      <w:sz w:val="28"/>
      <w:szCs w:val="24"/>
      <w:lang w:eastAsia="ru-RU"/>
    </w:rPr>
  </w:style>
  <w:style w:type="paragraph" w:styleId="1216">
    <w:name w:val="1 уровень"/>
    <w:basedOn w:val="1195"/>
    <w:next w:val="1216"/>
    <w:link w:val="1167"/>
    <w:uiPriority w:val="99"/>
    <w:pPr>
      <w:numPr>
        <w:ilvl w:val="0"/>
        <w:numId w:val="8"/>
      </w:numPr>
      <w:jc w:val="center"/>
      <w:keepNext/>
      <w:pageBreakBefore/>
      <w:spacing w:before="240" w:after="240" w:line="240" w:lineRule="auto"/>
    </w:pPr>
    <w:rPr>
      <w:rFonts w:ascii="Times New Roman" w:hAnsi="Times New Roman" w:cs="Arial"/>
      <w:b/>
      <w:bCs/>
      <w:sz w:val="32"/>
      <w:szCs w:val="32"/>
      <w:lang w:eastAsia="ru-RU"/>
    </w:rPr>
  </w:style>
  <w:style w:type="paragraph" w:styleId="1217">
    <w:name w:val="Оглавление 1"/>
    <w:basedOn w:val="1167"/>
    <w:next w:val="1167"/>
    <w:link w:val="1167"/>
    <w:uiPriority w:val="99"/>
    <w:pPr>
      <w:ind w:right="282"/>
      <w:spacing w:after="0" w:line="240" w:lineRule="auto"/>
      <w:tabs>
        <w:tab w:val="left" w:pos="440" w:leader="none"/>
        <w:tab w:val="right" w:pos="9498" w:leader="dot"/>
      </w:tabs>
    </w:pPr>
    <w:rPr>
      <w:rFonts w:ascii="Times New Roman" w:hAnsi="Times New Roman"/>
      <w:b/>
      <w:sz w:val="26"/>
      <w:szCs w:val="24"/>
      <w:lang w:eastAsia="ru-RU"/>
    </w:rPr>
  </w:style>
  <w:style w:type="character" w:styleId="1218">
    <w:name w:val="Гиперссылка"/>
    <w:next w:val="1218"/>
    <w:link w:val="1167"/>
    <w:uiPriority w:val="99"/>
    <w:rPr>
      <w:rFonts w:cs="Times New Roman"/>
      <w:color w:val="0000ff"/>
      <w:u w:val="single"/>
    </w:rPr>
  </w:style>
  <w:style w:type="paragraph" w:styleId="1219">
    <w:name w:val="приложение"/>
    <w:basedOn w:val="1167"/>
    <w:next w:val="1219"/>
    <w:link w:val="1167"/>
    <w:uiPriority w:val="99"/>
    <w:pPr>
      <w:jc w:val="center"/>
      <w:spacing w:before="120" w:after="120" w:line="240" w:lineRule="auto"/>
    </w:pPr>
    <w:rPr>
      <w:rFonts w:ascii="Times New Roman" w:hAnsi="Times New Roman"/>
      <w:b/>
      <w:sz w:val="28"/>
      <w:szCs w:val="24"/>
      <w:lang w:eastAsia="ru-RU"/>
    </w:rPr>
  </w:style>
  <w:style w:type="character" w:styleId="1220">
    <w:name w:val="Просмотренная гиперссылка"/>
    <w:next w:val="1220"/>
    <w:link w:val="1167"/>
    <w:uiPriority w:val="99"/>
    <w:rPr>
      <w:rFonts w:cs="Times New Roman"/>
      <w:color w:val="800080"/>
      <w:u w:val="single"/>
    </w:rPr>
  </w:style>
  <w:style w:type="paragraph" w:styleId="1221">
    <w:name w:val="Шапка таблицы"/>
    <w:basedOn w:val="1167"/>
    <w:next w:val="1221"/>
    <w:link w:val="1222"/>
    <w:pPr>
      <w:keepNext/>
      <w:spacing w:before="60" w:after="80" w:line="240" w:lineRule="auto"/>
    </w:pPr>
    <w:rPr>
      <w:rFonts w:ascii="Times New Roman" w:hAnsi="Times New Roman"/>
      <w:b/>
      <w:sz w:val="18"/>
      <w:szCs w:val="20"/>
      <w:lang w:val="en-US" w:eastAsia="en-US"/>
    </w:rPr>
  </w:style>
  <w:style w:type="character" w:styleId="1222">
    <w:name w:val="Шапка таблицы Знак"/>
    <w:next w:val="1222"/>
    <w:link w:val="1221"/>
    <w:rPr>
      <w:b/>
      <w:sz w:val="18"/>
      <w:lang w:val="en-US"/>
    </w:rPr>
  </w:style>
  <w:style w:type="paragraph" w:styleId="1223">
    <w:name w:val="Название объекта"/>
    <w:basedOn w:val="1167"/>
    <w:next w:val="1167"/>
    <w:link w:val="1167"/>
    <w:uiPriority w:val="99"/>
    <w:qFormat/>
    <w:pPr>
      <w:jc w:val="both"/>
      <w:spacing w:line="240" w:lineRule="auto"/>
    </w:pPr>
    <w:rPr>
      <w:rFonts w:ascii="Times New Roman" w:hAnsi="Times New Roman"/>
      <w:b/>
      <w:bCs/>
      <w:color w:val="4f81bd"/>
      <w:sz w:val="18"/>
      <w:szCs w:val="18"/>
    </w:rPr>
  </w:style>
  <w:style w:type="paragraph" w:styleId="1224">
    <w:name w:val="Отчет"/>
    <w:basedOn w:val="1167"/>
    <w:next w:val="1224"/>
    <w:link w:val="1225"/>
    <w:uiPriority w:val="99"/>
    <w:pPr>
      <w:ind w:firstLine="851"/>
      <w:jc w:val="both"/>
      <w:spacing w:after="0" w:line="360" w:lineRule="auto"/>
    </w:pPr>
    <w:rPr>
      <w:rFonts w:ascii="Times New Roman" w:hAnsi="Times New Roman"/>
      <w:sz w:val="20"/>
      <w:szCs w:val="20"/>
      <w:lang w:val="en-US" w:eastAsia="en-US"/>
    </w:rPr>
  </w:style>
  <w:style w:type="character" w:styleId="1225">
    <w:name w:val="Отчет Знак"/>
    <w:next w:val="1225"/>
    <w:link w:val="1224"/>
    <w:uiPriority w:val="99"/>
    <w:rPr>
      <w:lang w:val="en-US"/>
    </w:rPr>
  </w:style>
  <w:style w:type="paragraph" w:styleId="1226">
    <w:name w:val="Список 1"/>
    <w:basedOn w:val="1167"/>
    <w:next w:val="1226"/>
    <w:link w:val="1227"/>
    <w:uiPriority w:val="99"/>
    <w:pPr>
      <w:numPr>
        <w:ilvl w:val="0"/>
        <w:numId w:val="10"/>
      </w:numPr>
      <w:jc w:val="both"/>
      <w:spacing w:before="120" w:after="120" w:line="360" w:lineRule="auto"/>
    </w:pPr>
    <w:rPr>
      <w:rFonts w:ascii="Times New Roman" w:hAnsi="Times New Roman"/>
      <w:sz w:val="20"/>
      <w:szCs w:val="20"/>
      <w:lang w:val="en-US" w:eastAsia="en-US"/>
    </w:rPr>
  </w:style>
  <w:style w:type="character" w:styleId="1227">
    <w:name w:val="Список 1 Знак"/>
    <w:next w:val="1227"/>
    <w:link w:val="1226"/>
    <w:uiPriority w:val="99"/>
    <w:rPr>
      <w:lang w:val="en-US" w:eastAsia="en-US"/>
    </w:rPr>
  </w:style>
  <w:style w:type="table" w:styleId="1228">
    <w:name w:val="Сетка таблицы1"/>
    <w:next w:val="1228"/>
    <w:link w:val="1167"/>
    <w:uiPriority w:val="99"/>
    <w:rPr>
      <w:lang w:val="ru-RU" w:eastAsia="ru-RU" w:bidi="ar-SA"/>
    </w:rPr>
    <w:tblPr/>
  </w:style>
  <w:style w:type="paragraph" w:styleId="1229">
    <w:name w:val="Тема примечания"/>
    <w:basedOn w:val="1192"/>
    <w:next w:val="1192"/>
    <w:link w:val="1230"/>
    <w:uiPriority w:val="99"/>
    <w:rPr>
      <w:b/>
      <w:bCs/>
    </w:rPr>
  </w:style>
  <w:style w:type="character" w:styleId="1230">
    <w:name w:val="Тема примечания Знак"/>
    <w:next w:val="1230"/>
    <w:link w:val="1229"/>
    <w:uiPriority w:val="99"/>
    <w:rPr>
      <w:rFonts w:eastAsia="Calibri"/>
      <w:b/>
      <w:bCs/>
      <w:lang w:val="ru-RU" w:eastAsia="ru-RU" w:bidi="ar-SA"/>
    </w:rPr>
  </w:style>
  <w:style w:type="table" w:styleId="1231">
    <w:name w:val="Сетка таблицы2"/>
    <w:next w:val="1231"/>
    <w:link w:val="1167"/>
    <w:uiPriority w:val="99"/>
    <w:rPr>
      <w:lang w:val="ru-RU" w:eastAsia="ru-RU" w:bidi="ar-SA"/>
    </w:rPr>
    <w:tblPr/>
  </w:style>
  <w:style w:type="paragraph" w:styleId="1232">
    <w:name w:val="Текст по ГОСТ"/>
    <w:basedOn w:val="1167"/>
    <w:next w:val="1232"/>
    <w:link w:val="1233"/>
    <w:uiPriority w:val="99"/>
    <w:pPr>
      <w:ind w:firstLine="709"/>
      <w:jc w:val="center"/>
      <w:keepNext/>
      <w:spacing w:after="0" w:line="360" w:lineRule="auto"/>
    </w:pPr>
    <w:rPr>
      <w:rFonts w:ascii="Times New Roman" w:hAnsi="Times New Roman"/>
      <w:color w:val="000000"/>
      <w:sz w:val="24"/>
      <w:szCs w:val="20"/>
      <w:lang w:val="en-US" w:eastAsia="en-US"/>
    </w:rPr>
  </w:style>
  <w:style w:type="character" w:styleId="1233">
    <w:name w:val="Текст по ГОСТ Знак"/>
    <w:next w:val="1233"/>
    <w:link w:val="1232"/>
    <w:uiPriority w:val="99"/>
    <w:rPr>
      <w:color w:val="000000"/>
      <w:sz w:val="24"/>
      <w:lang w:val="en-US"/>
    </w:rPr>
  </w:style>
  <w:style w:type="paragraph" w:styleId="1234">
    <w:name w:val="Текст концевой сноски"/>
    <w:basedOn w:val="1167"/>
    <w:next w:val="1234"/>
    <w:link w:val="1235"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1235">
    <w:name w:val="Текст концевой сноски Знак"/>
    <w:basedOn w:val="1177"/>
    <w:next w:val="1235"/>
    <w:link w:val="1234"/>
    <w:uiPriority w:val="99"/>
  </w:style>
  <w:style w:type="character" w:styleId="1236">
    <w:name w:val="Знак концевой сноски"/>
    <w:next w:val="1236"/>
    <w:link w:val="1167"/>
    <w:uiPriority w:val="99"/>
    <w:rPr>
      <w:rFonts w:cs="Times New Roman"/>
      <w:vertAlign w:val="superscript"/>
    </w:rPr>
  </w:style>
  <w:style w:type="paragraph" w:styleId="1237">
    <w:name w:val="Revision"/>
    <w:next w:val="1237"/>
    <w:link w:val="1167"/>
    <w:hidden/>
    <w:uiPriority w:val="99"/>
    <w:semiHidden/>
    <w:rPr>
      <w:sz w:val="24"/>
      <w:szCs w:val="24"/>
      <w:lang w:val="ru-RU" w:eastAsia="ru-RU" w:bidi="ar-SA"/>
    </w:rPr>
  </w:style>
  <w:style w:type="paragraph" w:styleId="1238">
    <w:name w:val="No Spacing"/>
    <w:next w:val="1238"/>
    <w:link w:val="1167"/>
    <w:uiPriority w:val="99"/>
    <w:qFormat/>
    <w:rPr>
      <w:sz w:val="24"/>
      <w:szCs w:val="24"/>
      <w:lang w:val="ru-RU" w:eastAsia="ru-RU" w:bidi="ar-SA"/>
    </w:rPr>
  </w:style>
  <w:style w:type="character" w:styleId="1239">
    <w:name w:val="Book Title"/>
    <w:next w:val="1239"/>
    <w:link w:val="1167"/>
    <w:uiPriority w:val="99"/>
    <w:qFormat/>
    <w:rPr>
      <w:rFonts w:cs="Times New Roman"/>
      <w:b/>
      <w:bCs/>
      <w:smallCaps/>
      <w:spacing w:val="5"/>
    </w:rPr>
  </w:style>
  <w:style w:type="paragraph" w:styleId="1240">
    <w:name w:val="Заголовок оглавления1"/>
    <w:basedOn w:val="1168"/>
    <w:next w:val="1167"/>
    <w:link w:val="1167"/>
    <w:uiPriority w:val="99"/>
    <w:semiHidden/>
    <w:pPr>
      <w:numPr>
        <w:ilvl w:val="0"/>
        <w:numId w:val="0"/>
      </w:numPr>
      <w:jc w:val="left"/>
      <w:spacing w:before="480" w:after="0" w:line="276" w:lineRule="auto"/>
      <w:outlineLvl w:val="9"/>
    </w:pPr>
    <w:rPr>
      <w:rFonts w:ascii="Cambria" w:hAnsi="Cambria" w:eastAsia="Times New Roman"/>
      <w:b w:val="0"/>
      <w:color w:val="365f91"/>
      <w:sz w:val="28"/>
      <w:szCs w:val="28"/>
    </w:rPr>
  </w:style>
  <w:style w:type="paragraph" w:styleId="1241">
    <w:name w:val="Оглавление 2"/>
    <w:basedOn w:val="1167"/>
    <w:next w:val="1167"/>
    <w:link w:val="1167"/>
    <w:uiPriority w:val="99"/>
    <w:pPr>
      <w:ind w:left="426" w:right="282"/>
      <w:spacing w:after="0" w:line="240" w:lineRule="auto"/>
      <w:tabs>
        <w:tab w:val="left" w:pos="851" w:leader="none"/>
        <w:tab w:val="right" w:pos="9498" w:leader="dot"/>
      </w:tabs>
    </w:pPr>
    <w:rPr>
      <w:rFonts w:ascii="Times New Roman" w:hAnsi="Times New Roman"/>
      <w:sz w:val="26"/>
      <w:szCs w:val="24"/>
      <w:lang w:eastAsia="ru-RU"/>
    </w:rPr>
  </w:style>
  <w:style w:type="table" w:styleId="1242">
    <w:name w:val="Сетка таблицы3"/>
    <w:next w:val="1242"/>
    <w:link w:val="1167"/>
    <w:uiPriority w:val="99"/>
    <w:rPr>
      <w:rFonts w:ascii="Calibri" w:hAnsi="Calibri"/>
      <w:lang w:val="ru-RU" w:eastAsia="ru-RU" w:bidi="ar-SA"/>
    </w:rPr>
    <w:tblPr/>
  </w:style>
  <w:style w:type="table" w:styleId="1243">
    <w:name w:val="Сетка таблицы11"/>
    <w:next w:val="1243"/>
    <w:link w:val="1167"/>
    <w:uiPriority w:val="99"/>
    <w:rPr>
      <w:lang w:val="ru-RU" w:eastAsia="ru-RU" w:bidi="ar-SA"/>
    </w:rPr>
    <w:tblPr/>
  </w:style>
  <w:style w:type="table" w:styleId="1244">
    <w:name w:val="Сетка таблицы21"/>
    <w:next w:val="1244"/>
    <w:link w:val="1167"/>
    <w:uiPriority w:val="99"/>
    <w:rPr>
      <w:lang w:val="ru-RU" w:eastAsia="ru-RU" w:bidi="ar-SA"/>
    </w:rPr>
    <w:tblPr/>
  </w:style>
  <w:style w:type="paragraph" w:styleId="1245">
    <w:name w:val="Схема документа"/>
    <w:basedOn w:val="1167"/>
    <w:next w:val="1245"/>
    <w:link w:val="1246"/>
    <w:uiPriority w:val="99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1246">
    <w:name w:val="Схема документа Знак"/>
    <w:next w:val="1246"/>
    <w:link w:val="1245"/>
    <w:uiPriority w:val="99"/>
    <w:rPr>
      <w:rFonts w:ascii="Tahoma" w:hAnsi="Tahoma" w:cs="Tahoma"/>
      <w:sz w:val="16"/>
      <w:szCs w:val="16"/>
    </w:rPr>
  </w:style>
  <w:style w:type="table" w:styleId="1247">
    <w:name w:val="Сетка таблицы4"/>
    <w:next w:val="1247"/>
    <w:link w:val="1167"/>
    <w:uiPriority w:val="99"/>
    <w:rPr>
      <w:rFonts w:ascii="Calibri" w:hAnsi="Calibri"/>
      <w:lang w:val="ru-RU" w:eastAsia="ru-RU" w:bidi="ar-SA"/>
    </w:rPr>
    <w:tblPr/>
  </w:style>
  <w:style w:type="table" w:styleId="1248">
    <w:name w:val="Сетка таблицы12"/>
    <w:next w:val="1248"/>
    <w:link w:val="1167"/>
    <w:uiPriority w:val="99"/>
    <w:rPr>
      <w:lang w:val="ru-RU" w:eastAsia="ru-RU" w:bidi="ar-SA"/>
    </w:rPr>
    <w:tblPr/>
  </w:style>
  <w:style w:type="table" w:styleId="1249">
    <w:name w:val="Сетка таблицы22"/>
    <w:next w:val="1249"/>
    <w:link w:val="1167"/>
    <w:uiPriority w:val="99"/>
    <w:rPr>
      <w:lang w:val="ru-RU" w:eastAsia="ru-RU" w:bidi="ar-SA"/>
    </w:rPr>
    <w:tblPr/>
  </w:style>
  <w:style w:type="paragraph" w:styleId="1250">
    <w:name w:val="ConsPlusNormal"/>
    <w:next w:val="1250"/>
    <w:link w:val="1167"/>
    <w:uiPriority w:val="99"/>
    <w:rPr>
      <w:b/>
      <w:bCs/>
      <w:sz w:val="28"/>
      <w:szCs w:val="28"/>
      <w:lang w:val="ru-RU" w:eastAsia="ru-RU" w:bidi="ar-SA"/>
    </w:rPr>
  </w:style>
  <w:style w:type="table" w:styleId="1251">
    <w:name w:val="Сетка таблицы5"/>
    <w:next w:val="1251"/>
    <w:link w:val="1167"/>
    <w:uiPriority w:val="99"/>
    <w:rPr>
      <w:rFonts w:ascii="Calibri" w:hAnsi="Calibri"/>
      <w:lang w:val="ru-RU" w:eastAsia="ru-RU" w:bidi="ar-SA"/>
    </w:rPr>
    <w:tblPr/>
  </w:style>
  <w:style w:type="paragraph" w:styleId="1252">
    <w:name w:val="Электронная подпись"/>
    <w:basedOn w:val="1167"/>
    <w:next w:val="1252"/>
    <w:link w:val="1253"/>
    <w:uiPriority w:val="99"/>
    <w:pPr>
      <w:ind w:left="-414" w:hanging="720"/>
      <w:jc w:val="both"/>
      <w:spacing w:after="120" w:line="240" w:lineRule="auto"/>
      <w:tabs>
        <w:tab w:val="left" w:pos="709" w:leader="none"/>
      </w:tabs>
    </w:pPr>
    <w:rPr>
      <w:rFonts w:ascii="Times New Roman" w:hAnsi="Times New Roman"/>
      <w:sz w:val="24"/>
      <w:szCs w:val="24"/>
      <w:lang w:val="en-US"/>
    </w:rPr>
  </w:style>
  <w:style w:type="character" w:styleId="1253">
    <w:name w:val="Электронная подпись Знак"/>
    <w:next w:val="1253"/>
    <w:link w:val="1252"/>
    <w:uiPriority w:val="99"/>
    <w:rPr>
      <w:sz w:val="24"/>
      <w:szCs w:val="24"/>
      <w:lang w:eastAsia="en-US"/>
    </w:rPr>
  </w:style>
  <w:style w:type="character" w:styleId="1254">
    <w:name w:val="Номер строки"/>
    <w:next w:val="1254"/>
    <w:link w:val="1167"/>
    <w:uiPriority w:val="99"/>
    <w:rPr>
      <w:rFonts w:cs="Times New Roman"/>
    </w:rPr>
  </w:style>
  <w:style w:type="paragraph" w:styleId="1255">
    <w:name w:val="TOC Heading"/>
    <w:basedOn w:val="1168"/>
    <w:next w:val="1167"/>
    <w:link w:val="1167"/>
    <w:uiPriority w:val="99"/>
    <w:qFormat/>
    <w:pPr>
      <w:numPr>
        <w:ilvl w:val="0"/>
        <w:numId w:val="0"/>
      </w:numPr>
      <w:jc w:val="left"/>
      <w:spacing w:before="480" w:after="0" w:line="276" w:lineRule="auto"/>
      <w:outlineLvl w:val="9"/>
    </w:pPr>
    <w:rPr>
      <w:rFonts w:ascii="Cambria" w:hAnsi="Cambria" w:eastAsia="Times New Roman"/>
      <w:b w:val="0"/>
      <w:color w:val="365f91"/>
      <w:sz w:val="28"/>
      <w:szCs w:val="28"/>
    </w:rPr>
  </w:style>
  <w:style w:type="paragraph" w:styleId="1256">
    <w:name w:val="Оглавление 3"/>
    <w:basedOn w:val="1167"/>
    <w:next w:val="1167"/>
    <w:link w:val="1167"/>
    <w:uiPriority w:val="99"/>
    <w:pPr>
      <w:ind w:left="440"/>
      <w:spacing w:after="100"/>
    </w:pPr>
  </w:style>
  <w:style w:type="paragraph" w:styleId="1257">
    <w:name w:val="Оглавление 4"/>
    <w:basedOn w:val="1167"/>
    <w:next w:val="1167"/>
    <w:link w:val="1167"/>
    <w:uiPriority w:val="99"/>
    <w:pPr>
      <w:ind w:left="660"/>
      <w:spacing w:after="100"/>
    </w:pPr>
  </w:style>
  <w:style w:type="paragraph" w:styleId="1258">
    <w:name w:val="Оглавление 5"/>
    <w:basedOn w:val="1167"/>
    <w:next w:val="1167"/>
    <w:link w:val="1167"/>
    <w:uiPriority w:val="99"/>
    <w:pPr>
      <w:ind w:left="880"/>
      <w:spacing w:after="100"/>
    </w:pPr>
  </w:style>
  <w:style w:type="paragraph" w:styleId="1259">
    <w:name w:val="Оглавление 6"/>
    <w:basedOn w:val="1167"/>
    <w:next w:val="1167"/>
    <w:link w:val="1167"/>
    <w:uiPriority w:val="99"/>
    <w:pPr>
      <w:ind w:left="1100"/>
      <w:spacing w:after="100"/>
    </w:pPr>
  </w:style>
  <w:style w:type="paragraph" w:styleId="1260">
    <w:name w:val="Оглавление 7"/>
    <w:basedOn w:val="1167"/>
    <w:next w:val="1167"/>
    <w:link w:val="1167"/>
    <w:uiPriority w:val="99"/>
    <w:pPr>
      <w:ind w:left="1320"/>
      <w:spacing w:after="100"/>
    </w:pPr>
  </w:style>
  <w:style w:type="paragraph" w:styleId="1261">
    <w:name w:val="Оглавление 8"/>
    <w:basedOn w:val="1167"/>
    <w:next w:val="1167"/>
    <w:link w:val="1167"/>
    <w:uiPriority w:val="99"/>
    <w:pPr>
      <w:ind w:left="1540"/>
      <w:spacing w:after="100"/>
    </w:pPr>
  </w:style>
  <w:style w:type="paragraph" w:styleId="1262">
    <w:name w:val="Оглавление 9"/>
    <w:basedOn w:val="1167"/>
    <w:next w:val="1167"/>
    <w:link w:val="1167"/>
    <w:uiPriority w:val="99"/>
    <w:pPr>
      <w:ind w:left="1760"/>
      <w:spacing w:after="100"/>
    </w:pPr>
  </w:style>
  <w:style w:type="paragraph" w:styleId="1263">
    <w:name w:val="Заголовок для инструкций"/>
    <w:basedOn w:val="1167"/>
    <w:next w:val="1263"/>
    <w:link w:val="1167"/>
    <w:uiPriority w:val="99"/>
    <w:pPr>
      <w:jc w:val="center"/>
      <w:spacing w:before="180" w:after="180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1264">
    <w:name w:val="Абзац списка"/>
    <w:basedOn w:val="1167"/>
    <w:next w:val="1264"/>
    <w:link w:val="1265"/>
    <w:uiPriority w:val="34"/>
    <w:qFormat/>
    <w:pPr>
      <w:contextualSpacing/>
      <w:ind w:left="720"/>
    </w:pPr>
    <w:rPr>
      <w:rFonts w:eastAsia="Calibri"/>
      <w:lang w:val="en-US"/>
    </w:rPr>
  </w:style>
  <w:style w:type="character" w:styleId="1265">
    <w:name w:val="Абзац списка Знак"/>
    <w:next w:val="1265"/>
    <w:link w:val="1264"/>
    <w:uiPriority w:val="34"/>
    <w:rPr>
      <w:rFonts w:ascii="Calibri" w:hAnsi="Calibri" w:eastAsia="Calibri"/>
      <w:sz w:val="22"/>
      <w:szCs w:val="22"/>
      <w:lang w:eastAsia="en-US"/>
    </w:rPr>
  </w:style>
  <w:style w:type="paragraph" w:styleId="1266">
    <w:name w:val="Heading 3"/>
    <w:basedOn w:val="1167"/>
    <w:next w:val="1266"/>
    <w:link w:val="1167"/>
    <w:uiPriority w:val="1"/>
    <w:qFormat/>
    <w:pPr>
      <w:ind w:left="392" w:firstLine="708"/>
      <w:jc w:val="both"/>
      <w:spacing w:after="0" w:line="240" w:lineRule="auto"/>
      <w:widowControl w:val="off"/>
      <w:outlineLvl w:val="3"/>
    </w:pPr>
    <w:rPr>
      <w:rFonts w:ascii="Times New Roman" w:hAnsi="Times New Roman"/>
      <w:b/>
      <w:bCs/>
      <w:sz w:val="26"/>
      <w:szCs w:val="26"/>
      <w:lang w:eastAsia="ru-RU" w:bidi="ru-RU"/>
    </w:rPr>
  </w:style>
  <w:style w:type="table" w:styleId="1267">
    <w:name w:val="Table Normal"/>
    <w:next w:val="1267"/>
    <w:link w:val="1167"/>
    <w:uiPriority w:val="2"/>
    <w:semiHidden/>
    <w:unhideWhenUsed/>
    <w:qFormat/>
    <w:pPr>
      <w:widowControl w:val="off"/>
    </w:pPr>
    <w:rPr>
      <w:rFonts w:ascii="Calibri" w:hAnsi="Calibri" w:eastAsia="Calibri"/>
      <w:sz w:val="22"/>
      <w:szCs w:val="22"/>
      <w:lang w:val="en-US" w:eastAsia="en-US" w:bidi="ar-SA"/>
    </w:rPr>
    <w:tblPr/>
  </w:style>
  <w:style w:type="paragraph" w:styleId="1268">
    <w:name w:val="Table Paragraph"/>
    <w:basedOn w:val="1167"/>
    <w:next w:val="1268"/>
    <w:link w:val="1167"/>
    <w:uiPriority w:val="1"/>
    <w:qFormat/>
    <w:pPr>
      <w:spacing w:after="0" w:line="240" w:lineRule="auto"/>
      <w:widowControl w:val="off"/>
    </w:pPr>
    <w:rPr>
      <w:rFonts w:ascii="Times New Roman" w:hAnsi="Times New Roman"/>
      <w:lang w:eastAsia="ru-RU" w:bidi="ru-RU"/>
    </w:rPr>
  </w:style>
  <w:style w:type="paragraph" w:styleId="1269">
    <w:name w:val="Heading 2"/>
    <w:basedOn w:val="1167"/>
    <w:next w:val="1269"/>
    <w:link w:val="1167"/>
    <w:uiPriority w:val="1"/>
    <w:qFormat/>
    <w:pPr>
      <w:ind w:left="1809" w:hanging="709"/>
      <w:jc w:val="both"/>
      <w:spacing w:after="0" w:line="240" w:lineRule="auto"/>
      <w:widowControl w:val="off"/>
      <w:outlineLvl w:val="2"/>
    </w:pPr>
    <w:rPr>
      <w:rFonts w:ascii="Times New Roman" w:hAnsi="Times New Roman"/>
      <w:b/>
      <w:bCs/>
      <w:sz w:val="28"/>
      <w:szCs w:val="28"/>
      <w:lang w:eastAsia="ru-RU" w:bidi="ru-RU"/>
    </w:rPr>
  </w:style>
  <w:style w:type="paragraph" w:styleId="1270">
    <w:name w:val="Default"/>
    <w:next w:val="1270"/>
    <w:link w:val="1167"/>
    <w:rPr>
      <w:color w:val="000000"/>
      <w:sz w:val="24"/>
      <w:szCs w:val="24"/>
      <w:lang w:val="ru-RU" w:eastAsia="ru-RU" w:bidi="ar-SA"/>
    </w:rPr>
  </w:style>
  <w:style w:type="character" w:styleId="1271" w:default="1">
    <w:name w:val="Default Paragraph Font"/>
    <w:uiPriority w:val="1"/>
    <w:semiHidden/>
    <w:unhideWhenUsed/>
  </w:style>
  <w:style w:type="numbering" w:styleId="1272" w:default="1">
    <w:name w:val="No List"/>
    <w:uiPriority w:val="99"/>
    <w:semiHidden/>
    <w:unhideWhenUsed/>
  </w:style>
  <w:style w:type="table" w:styleId="12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.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ogolovanova</dc:creator>
  <cp:revision>822</cp:revision>
  <dcterms:created xsi:type="dcterms:W3CDTF">2016-12-28T13:48:00Z</dcterms:created>
  <dcterms:modified xsi:type="dcterms:W3CDTF">2025-02-17T10:52:06Z</dcterms:modified>
  <cp:version>786432</cp:version>
</cp:coreProperties>
</file>