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7"/>
        <w:ind w:left="5954"/>
        <w:spacing w:after="0" w:line="240" w:lineRule="auto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УТВЕРЖДЕНО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877"/>
        <w:ind w:left="5954"/>
        <w:spacing w:after="0" w:line="240" w:lineRule="auto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приказом Министерства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877"/>
        <w:ind w:left="5954"/>
        <w:spacing w:after="0" w:line="240" w:lineRule="auto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образования области 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877"/>
        <w:ind w:left="5954"/>
        <w:spacing w:after="0" w:line="240" w:lineRule="auto"/>
        <w:tabs>
          <w:tab w:val="left" w:pos="540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от __________ 2025 года № ____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877"/>
        <w:ind w:left="5580" w:firstLine="374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(приложение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6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jc w:val="center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Инструкция для организатора вне аудитории пункта проведения экзаменов при проведении государственной итоговой аттестации по образовательным программам среднего общего образования на территории Вологодской области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cyan"/>
        </w:rPr>
      </w:pPr>
      <w:r>
        <w:rPr>
          <w:rFonts w:ascii="Tinos" w:hAnsi="Tinos" w:eastAsia="Tinos" w:cs="Tinos"/>
          <w:sz w:val="28"/>
          <w:szCs w:val="28"/>
          <w:highlight w:val="cyan"/>
          <w:lang w:eastAsia="ru-RU"/>
        </w:rPr>
      </w:r>
      <w:r>
        <w:rPr>
          <w:rFonts w:ascii="Tinos" w:hAnsi="Tinos" w:cs="Tinos"/>
          <w:sz w:val="28"/>
          <w:szCs w:val="28"/>
          <w:highlight w:val="cyan"/>
        </w:rPr>
      </w:r>
      <w:r>
        <w:rPr>
          <w:rFonts w:ascii="Tinos" w:hAnsi="Tinos" w:cs="Tinos"/>
          <w:sz w:val="28"/>
          <w:szCs w:val="28"/>
          <w:highlight w:val="cyan"/>
        </w:rPr>
      </w:r>
    </w:p>
    <w:p>
      <w:pPr>
        <w:pStyle w:val="877"/>
        <w:numPr>
          <w:ilvl w:val="0"/>
          <w:numId w:val="3"/>
        </w:numPr>
        <w:jc w:val="center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Общие положения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cyan"/>
        </w:rPr>
      </w:pPr>
      <w:r>
        <w:rPr>
          <w:rFonts w:ascii="Tinos" w:hAnsi="Tinos" w:eastAsia="Tinos" w:cs="Tinos"/>
          <w:sz w:val="28"/>
          <w:szCs w:val="28"/>
          <w:highlight w:val="cyan"/>
          <w:lang w:eastAsia="ru-RU"/>
        </w:rPr>
      </w:r>
      <w:r>
        <w:rPr>
          <w:rFonts w:ascii="Tinos" w:hAnsi="Tinos" w:cs="Tinos"/>
          <w:sz w:val="28"/>
          <w:szCs w:val="28"/>
          <w:highlight w:val="cyan"/>
        </w:rPr>
      </w:r>
      <w:r>
        <w:rPr>
          <w:rFonts w:ascii="Tinos" w:hAnsi="Tinos" w:cs="Tinos"/>
          <w:sz w:val="28"/>
          <w:szCs w:val="28"/>
          <w:highlight w:val="cyan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Организатор вне аудитории </w:t>
      </w:r>
      <w:r>
        <w:rPr>
          <w:rFonts w:ascii="Tinos" w:hAnsi="Tinos" w:eastAsia="Tinos" w:cs="Tinos"/>
          <w:bCs/>
          <w:sz w:val="28"/>
          <w:szCs w:val="28"/>
          <w:highlight w:val="none"/>
          <w:lang w:eastAsia="ru-RU"/>
        </w:rPr>
        <w:t xml:space="preserve">пункта проведения экзаменов при проведении государственной итоговой аттестации по образовательным программам среднего общего образования (далее соответственно – ППЭ, ГИА)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своей деятельности руководствуется: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Порядком проведения государственной итоговой аттеста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4 апреля 2023 года № 233/552 (далее – Порядок проведения ГИА);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нормативными правовыми актами по организации ГИА в Вологодской области;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настоящей Инструкцией.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Кандидатура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рганизатор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вне аудитории назначается приказом Министерства образования Вологодс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ой области (далее – Министерство образования области) по согласованию с государственной экзаменационной комиссией Вологодской области по проведению государственной итоговой аттестации по образовательным программам среднего общего образования (далее – ГЭК).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Организаторы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вне аудитории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должны пройти соответствующую подготовку, организуемую Министерством образования области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При проведении экзамена не допускается привлекать в качестве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организаторов вне аудитории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близких родственников</w:t>
      </w:r>
      <w:r>
        <w:rPr>
          <w:rStyle w:val="911"/>
          <w:rFonts w:ascii="Tinos" w:hAnsi="Tinos" w:eastAsia="Tinos" w:cs="Tinos"/>
          <w:sz w:val="28"/>
          <w:szCs w:val="28"/>
          <w:highlight w:val="none"/>
        </w:rPr>
        <w:footnoteReference w:id="2"/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а также супругов, усынови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телей, усыновленных участников экзаменов, сдающих экзамен в данном ППЭ, а также педагогических работников, являющихся учителями участников ГИА, сдающих экзамен в данном ППЭ (за исключением ППЭ, организованных в учреждениях уголовно-исполнительной системы).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 проведении экзамена по учебному предмету в состав организаторов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вне аудитории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 входят специалисты по этому учебному предмету.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Организатор вне аудитории информируется под по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дпись о сроках, местах и порядке проведения экзаменов,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cyan"/>
        </w:rPr>
      </w:pPr>
      <w:r>
        <w:rPr>
          <w:rFonts w:ascii="Tinos" w:hAnsi="Tinos" w:eastAsia="Tinos" w:cs="Tinos"/>
          <w:sz w:val="28"/>
          <w:szCs w:val="28"/>
          <w:highlight w:val="cyan"/>
          <w:lang w:eastAsia="ru-RU"/>
        </w:rPr>
      </w:r>
      <w:r>
        <w:rPr>
          <w:rFonts w:ascii="Tinos" w:hAnsi="Tinos" w:cs="Tinos"/>
          <w:sz w:val="28"/>
          <w:szCs w:val="28"/>
          <w:highlight w:val="cyan"/>
        </w:rPr>
      </w:r>
      <w:r>
        <w:rPr>
          <w:rFonts w:ascii="Tinos" w:hAnsi="Tinos" w:cs="Tinos"/>
          <w:sz w:val="28"/>
          <w:szCs w:val="28"/>
          <w:highlight w:val="cyan"/>
        </w:rPr>
      </w:r>
    </w:p>
    <w:p>
      <w:pPr>
        <w:pStyle w:val="877"/>
        <w:numPr>
          <w:ilvl w:val="0"/>
          <w:numId w:val="3"/>
        </w:numPr>
        <w:jc w:val="center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Подготовка к проведению экзаменов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cyan"/>
        </w:rPr>
      </w:pPr>
      <w:r>
        <w:rPr>
          <w:rFonts w:ascii="Tinos" w:hAnsi="Tinos" w:eastAsia="Tinos" w:cs="Tinos"/>
          <w:b/>
          <w:sz w:val="28"/>
          <w:szCs w:val="28"/>
          <w:highlight w:val="cyan"/>
          <w:lang w:eastAsia="ru-RU"/>
        </w:rPr>
      </w:r>
      <w:r>
        <w:rPr>
          <w:rFonts w:ascii="Tinos" w:hAnsi="Tinos" w:cs="Tinos"/>
          <w:b/>
          <w:sz w:val="28"/>
          <w:szCs w:val="28"/>
          <w:highlight w:val="cyan"/>
        </w:rPr>
      </w:r>
      <w:r>
        <w:rPr>
          <w:rFonts w:ascii="Tinos" w:hAnsi="Tinos" w:cs="Tinos"/>
          <w:b/>
          <w:sz w:val="28"/>
          <w:szCs w:val="28"/>
          <w:highlight w:val="cyan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Организатор вне аудитории должен заблаговременно пройти инструктаж по порядку и процедуре проведения экзаменов и ознакомиться с: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а) нормативными правовыми актами, регламентирующими проведение экзаменов;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б) инструкцией, определяющей порядок работы организаторов вне аудитории.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Организатору вне аудитории необходимо помнить, что экзамен проводится в спокойной и доброжелательной обстановке.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день проведения экзамена в ППЭ организатору вне аудитории запрещается: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а) иметь при себе средства связи, электронно-вычислительную технику, фото-, видеоаппаратуру, справочные материалы, письменные заметки и иные средства хранения и передачи информации, в том числе иметь при себе художественную литературу и т.д.;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б) оказывать содействие участникам экзаменов, в том числе передавать им средства связи, электронно-вычислительную технику, фото-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в) выносить из аудитории и ППЭ черновики, ЭМ на бумажном и (или) электронном носителях, фотографировать ЭМ, черновики;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г) покидать ППЭ в день проведения экзамена</w:t>
      </w:r>
      <w:r>
        <w:rPr>
          <w:rStyle w:val="911"/>
          <w:rFonts w:ascii="Tinos" w:hAnsi="Tinos" w:eastAsia="Tinos" w:cs="Tinos"/>
          <w:sz w:val="28"/>
          <w:szCs w:val="28"/>
          <w:highlight w:val="none"/>
          <w:lang w:eastAsia="ru-RU"/>
        </w:rPr>
        <w:footnoteReference w:id="3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(до окончания процедур, предусмотренных Порядком).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cyan"/>
        </w:rPr>
      </w:pPr>
      <w:r>
        <w:rPr>
          <w:rFonts w:ascii="Tinos" w:hAnsi="Tinos" w:eastAsia="Tinos" w:cs="Tinos"/>
          <w:sz w:val="28"/>
          <w:szCs w:val="28"/>
          <w:highlight w:val="cyan"/>
          <w:lang w:eastAsia="ru-RU"/>
        </w:rPr>
      </w:r>
      <w:r>
        <w:rPr>
          <w:rFonts w:ascii="Tinos" w:hAnsi="Tinos" w:cs="Tinos"/>
          <w:sz w:val="28"/>
          <w:szCs w:val="28"/>
          <w:highlight w:val="cyan"/>
        </w:rPr>
      </w:r>
      <w:r>
        <w:rPr>
          <w:rFonts w:ascii="Tinos" w:hAnsi="Tinos" w:cs="Tinos"/>
          <w:sz w:val="28"/>
          <w:szCs w:val="28"/>
          <w:highlight w:val="cyan"/>
        </w:rPr>
      </w:r>
    </w:p>
    <w:p>
      <w:pPr>
        <w:pStyle w:val="877"/>
        <w:numPr>
          <w:ilvl w:val="0"/>
          <w:numId w:val="3"/>
        </w:numPr>
        <w:jc w:val="center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Проведение экзаменов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cyan"/>
        </w:rPr>
      </w:pPr>
      <w:r>
        <w:rPr>
          <w:rFonts w:ascii="Tinos" w:hAnsi="Tinos" w:eastAsia="Tinos" w:cs="Tinos"/>
          <w:sz w:val="28"/>
          <w:szCs w:val="28"/>
          <w:highlight w:val="cyan"/>
          <w:lang w:eastAsia="ru-RU"/>
        </w:rPr>
      </w:r>
      <w:r>
        <w:rPr>
          <w:rFonts w:ascii="Tinos" w:hAnsi="Tinos" w:cs="Tinos"/>
          <w:sz w:val="28"/>
          <w:szCs w:val="28"/>
          <w:highlight w:val="cyan"/>
        </w:rPr>
      </w:r>
      <w:r>
        <w:rPr>
          <w:rFonts w:ascii="Tinos" w:hAnsi="Tinos" w:cs="Tinos"/>
          <w:sz w:val="28"/>
          <w:szCs w:val="28"/>
          <w:highlight w:val="cyan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день проведения экзаменов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организатор вне аудитории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должен: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прибыть в ППЭ не позднее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8 часов 00 минут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оставить личные вещи в месте хранения личных вещей, расположенном до входа в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Организатор вне аудитории, назначенный руководителем ППЭ на проведение регистрации, должен: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получить у руководителя ППЭ список работников ППЭ и общественных наблюдателей;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 позднее 08 часов 00 минут на входе в ППЭ совместно с сотрудниками, осуществляющими охрану правопорядка, проверить наличие следующих документов у следующих лиц, а также установить соответствие их личности представленным документам: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jc w:val="both"/>
        <w:spacing w:after="0" w:line="240" w:lineRule="auto"/>
        <w:rPr>
          <w:rFonts w:ascii="Tinos" w:hAnsi="Tinos" w:cs="Tinos"/>
          <w:sz w:val="28"/>
          <w:szCs w:val="28"/>
          <w:highlight w:val="cyan"/>
        </w:rPr>
      </w:pPr>
      <w:r>
        <w:rPr>
          <w:rFonts w:ascii="Tinos" w:hAnsi="Tinos" w:eastAsia="Tinos" w:cs="Tinos"/>
          <w:sz w:val="28"/>
          <w:szCs w:val="28"/>
          <w:highlight w:val="cyan"/>
          <w:lang w:eastAsia="ru-RU"/>
        </w:rPr>
      </w:r>
      <w:r>
        <w:rPr>
          <w:rFonts w:ascii="Tinos" w:hAnsi="Tinos" w:cs="Tinos"/>
          <w:sz w:val="28"/>
          <w:szCs w:val="28"/>
          <w:highlight w:val="cyan"/>
        </w:rPr>
      </w:r>
      <w:r>
        <w:rPr>
          <w:rFonts w:ascii="Tinos" w:hAnsi="Tinos" w:cs="Tinos"/>
          <w:sz w:val="28"/>
          <w:szCs w:val="28"/>
          <w:highlight w:val="cyan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18"/>
        <w:gridCol w:w="52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6"/>
        </w:trPr>
        <w:tc>
          <w:tcPr>
            <w:tcW w:w="5018" w:type="dxa"/>
            <w:vAlign w:val="center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</w:rPr>
              <w:t xml:space="preserve">Лица, имеющие право присутствовать в ППЭ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5295" w:type="dxa"/>
            <w:vAlign w:val="center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0"/>
                <w:szCs w:val="20"/>
                <w:highlight w:val="none"/>
              </w:rPr>
              <w:t xml:space="preserve">Документы, на основании которых лица имеют право присутствовать в ППЭ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7"/>
        </w:trPr>
        <w:tc>
          <w:tcPr>
            <w:tcW w:w="5018" w:type="dxa"/>
            <w:vAlign w:val="center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Должностные лица Рособрнадзора, а также иные лица, определенные Рособрнадзором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5295" w:type="dxa"/>
            <w:vAlign w:val="center"/>
            <w:vMerge w:val="restart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1) Документ, удостоверяющий личность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2) Документ, подтверждающий полномочия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5"/>
        </w:trPr>
        <w:tc>
          <w:tcPr>
            <w:tcW w:w="5018" w:type="dxa"/>
            <w:vAlign w:val="center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5295" w:type="dxa"/>
            <w:vAlign w:val="center"/>
            <w:vMerge w:val="continue"/>
            <w:textDirection w:val="lrTb"/>
            <w:noWrap w:val="false"/>
          </w:tcPr>
          <w:p>
            <w:pPr>
              <w:pStyle w:val="9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7"/>
        </w:trPr>
        <w:tc>
          <w:tcPr>
            <w:tcW w:w="5018" w:type="dxa"/>
            <w:vAlign w:val="center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Сотрудники, осуществляющие охрану правопорядка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5295" w:type="dxa"/>
            <w:vAlign w:val="center"/>
            <w:vMerge w:val="continue"/>
            <w:textDirection w:val="lrTb"/>
            <w:noWrap w:val="false"/>
          </w:tcPr>
          <w:p>
            <w:pPr>
              <w:pStyle w:val="9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6"/>
        </w:trPr>
        <w:tc>
          <w:tcPr>
            <w:tcW w:w="5018" w:type="dxa"/>
            <w:vAlign w:val="center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Сотрудники органов внутренних дел (полиции)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5295" w:type="dxa"/>
            <w:vAlign w:val="center"/>
            <w:vMerge w:val="continue"/>
            <w:textDirection w:val="lrTb"/>
            <w:noWrap w:val="false"/>
          </w:tcPr>
          <w:p>
            <w:pPr>
              <w:pStyle w:val="9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7"/>
        </w:trPr>
        <w:tc>
          <w:tcPr>
            <w:tcW w:w="5018" w:type="dxa"/>
            <w:vAlign w:val="center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Медицинские работники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5295" w:type="dxa"/>
            <w:vAlign w:val="center"/>
            <w:vMerge w:val="continue"/>
            <w:textDirection w:val="lrTb"/>
            <w:noWrap w:val="false"/>
          </w:tcPr>
          <w:p>
            <w:pPr>
              <w:pStyle w:val="9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7"/>
        </w:trPr>
        <w:tc>
          <w:tcPr>
            <w:tcW w:w="5018" w:type="dxa"/>
            <w:vAlign w:val="center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Аккредитованные представители СМИ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5295" w:type="dxa"/>
            <w:vAlign w:val="center"/>
            <w:vMerge w:val="continue"/>
            <w:textDirection w:val="lrTb"/>
            <w:noWrap w:val="false"/>
          </w:tcPr>
          <w:p>
            <w:pPr>
              <w:pStyle w:val="9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5"/>
        </w:trPr>
        <w:tc>
          <w:tcPr>
            <w:tcW w:w="5018" w:type="dxa"/>
            <w:vAlign w:val="center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Общественные наблюдатели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5295" w:type="dxa"/>
            <w:vAlign w:val="center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1) До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кумент, удостоверяющий личность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2) Доку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мент, подтверждающий полномочия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3) Наличие в списках распределения в данный ППЭ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4"/>
        </w:trPr>
        <w:tc>
          <w:tcPr>
            <w:tcW w:w="5018" w:type="dxa"/>
            <w:vAlign w:val="center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Руководитель ППЭ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5295" w:type="dxa"/>
            <w:vAlign w:val="center"/>
            <w:vMerge w:val="restart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1) Документ, удостоверяющий личность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2) Наличие в списках распределения в данный ППЭ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7"/>
        </w:trPr>
        <w:tc>
          <w:tcPr>
            <w:tcW w:w="5018" w:type="dxa"/>
            <w:vAlign w:val="center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Организаторы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5295" w:type="dxa"/>
            <w:vAlign w:val="center"/>
            <w:vMerge w:val="continue"/>
            <w:textDirection w:val="lrTb"/>
            <w:noWrap w:val="false"/>
          </w:tcPr>
          <w:p>
            <w:pPr>
              <w:pStyle w:val="9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7"/>
        </w:trPr>
        <w:tc>
          <w:tcPr>
            <w:tcW w:w="5018" w:type="dxa"/>
            <w:vAlign w:val="center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Члены ГЭК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5295" w:type="dxa"/>
            <w:vAlign w:val="center"/>
            <w:vMerge w:val="continue"/>
            <w:textDirection w:val="lrTb"/>
            <w:noWrap w:val="false"/>
          </w:tcPr>
          <w:p>
            <w:pPr>
              <w:pStyle w:val="9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7"/>
        </w:trPr>
        <w:tc>
          <w:tcPr>
            <w:tcW w:w="5018" w:type="dxa"/>
            <w:vAlign w:val="center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Технические специалисты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5295" w:type="dxa"/>
            <w:vAlign w:val="center"/>
            <w:vMerge w:val="continue"/>
            <w:textDirection w:val="lrTb"/>
            <w:noWrap w:val="false"/>
          </w:tcPr>
          <w:p>
            <w:pPr>
              <w:pStyle w:val="9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7"/>
        </w:trPr>
        <w:tc>
          <w:tcPr>
            <w:tcW w:w="5018" w:type="dxa"/>
            <w:vAlign w:val="center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Экзаменаторы-собеседники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5295" w:type="dxa"/>
            <w:vAlign w:val="center"/>
            <w:vMerge w:val="continue"/>
            <w:textDirection w:val="lrTb"/>
            <w:noWrap w:val="false"/>
          </w:tcPr>
          <w:p>
            <w:pPr>
              <w:pStyle w:val="9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7"/>
        </w:trPr>
        <w:tc>
          <w:tcPr>
            <w:tcW w:w="5018" w:type="dxa"/>
            <w:vAlign w:val="center"/>
            <w:textDirection w:val="lrTb"/>
            <w:noWrap w:val="false"/>
          </w:tcPr>
          <w:p>
            <w:pPr>
              <w:pStyle w:val="912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Ассистенты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5295" w:type="dxa"/>
            <w:vAlign w:val="center"/>
            <w:vMerge w:val="continue"/>
            <w:textDirection w:val="lrTb"/>
            <w:noWrap w:val="false"/>
          </w:tcPr>
          <w:p>
            <w:pPr>
              <w:pStyle w:val="9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77"/>
        <w:jc w:val="both"/>
        <w:spacing w:after="0" w:line="240" w:lineRule="auto"/>
        <w:rPr>
          <w:rFonts w:ascii="Tinos" w:hAnsi="Tinos" w:cs="Tinos"/>
          <w:sz w:val="28"/>
          <w:szCs w:val="28"/>
          <w:highlight w:val="cyan"/>
        </w:rPr>
      </w:pPr>
      <w:r>
        <w:rPr>
          <w:rFonts w:ascii="Tinos" w:hAnsi="Tinos" w:eastAsia="Tinos" w:cs="Tinos"/>
          <w:sz w:val="28"/>
          <w:szCs w:val="28"/>
          <w:highlight w:val="cyan"/>
          <w:lang w:eastAsia="ru-RU"/>
        </w:rPr>
      </w:r>
      <w:r>
        <w:rPr>
          <w:rFonts w:ascii="Tinos" w:hAnsi="Tinos" w:cs="Tinos"/>
          <w:sz w:val="28"/>
          <w:szCs w:val="28"/>
          <w:highlight w:val="cyan"/>
        </w:rPr>
      </w:r>
      <w:r>
        <w:rPr>
          <w:rFonts w:ascii="Tinos" w:hAnsi="Tinos" w:cs="Tinos"/>
          <w:sz w:val="28"/>
          <w:szCs w:val="28"/>
          <w:highlight w:val="cyan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Другие организаторы вне аудитории, не назначенные руководителем ППЭ на регистрацию, должны: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зарегистрироваться у ответственного за регистрацию лица;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пройти инструктаж у руководителя ППЭ по процедуре проведения экзаменов, который начинается не ранее 08 часов 15 минут;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получить у руководителя ППЭ: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а) информацию о назначении организаторов вне аудитории и распределении на места работы в ППЭ;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б) списки распределения участников экзаменов по аудиториям (формы ППЭ-06-01 и ППЭ-06-02) для размещения на информационном стенде при входе в ППЭ;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в) пройти на свое место работы и приступить к выполнению своих обязанностей.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Перед началом проведения ЕГЭ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обесп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ечить организацию входа участников экзаменов в ППЭ (начиная с 09 часов 00 минут)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: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а)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 входа в ППЭ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предупреждать участников экзаменов о запрете иметь при себе в ППЭ средства связи, фото-, аудио- и видеоаппаратуру, электрон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но-вычислительную технику, справочные материалы, письменные заметки и иные средства хранения и передачи информации (за исключением средств обучения и воспитания,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разрешенных к использованию для выполнения заданий КИМ по соответствующим учебным предметам);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б)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 входа в ППЭ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информировать участников экзаменов о необходимости оставить личные вещи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(средства связи, иные запрещенные средства и материалы и др.) в специально выделенном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 входа в ППЭ помещении (месте) для хранения личных вещей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eastAsia="Tinos" w:cs="Tinos"/>
          <w:sz w:val="28"/>
          <w:szCs w:val="28"/>
          <w:highlight w:val="cyan"/>
          <w:lang w:eastAsia="ru-RU"/>
        </w:rPr>
      </w:r>
      <w:r/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в) при входе в ППЭ совместно с сотрудниками, осуществляющими охрану правопорядка, проверить документы, удостоверяющие личность участников экзаменов, и наличие их в списках распределения в данный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отсутствия у участника ГИА документ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а, удостоверяющего личность, он допускается в ППЭ после письменного подтверждения его личности сопровождающим (форма ППЭ-20). Организатор вне аудитории приглашает члена ГЭК, в присутствии которого сопровождающий заполняет форму ППЭ-20. Заполненная форма пе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редается участнику ГИА, далее он проходит в ППЭ на общих основаниях. Организатор в аудитории допускает в аудиторию участника ГИА после предъявления им формы ППЭ-20. Организатор забирает у участника ГИА данную форму для дальнейшей передачи руководителю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отсутствия у участника ЕГЭ документа, удостоверяющего личность, он не допускается в ППЭ. В этом случае организатор вне аудитории приглашает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руководителя ППЭ и члена ГЭК для составления акт о недопуске такого участника в ППЭ.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овторно к участию в ЕГЭ по данному учебному предмету в резервные сроки указанный участник ЕГЭ может быть допущен только по решению председателя ГЭК.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  <w:t xml:space="preserve">При отсутствии участника экзамена в списках распределения в данный ППЭ,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участник </w:t>
      </w:r>
      <w:r>
        <w:rPr>
          <w:rFonts w:ascii="Tinos" w:hAnsi="Tinos" w:cs="Tinos"/>
          <w:sz w:val="28"/>
          <w:szCs w:val="28"/>
          <w:highlight w:val="none"/>
        </w:rPr>
        <w:t xml:space="preserve">экзамена в ППЭ не допускается, в</w:t>
      </w:r>
      <w:r>
        <w:rPr>
          <w:rFonts w:ascii="Tinos" w:hAnsi="Tinos" w:cs="Tinos"/>
          <w:sz w:val="28"/>
          <w:szCs w:val="28"/>
          <w:highlight w:val="none"/>
        </w:rPr>
        <w:t xml:space="preserve"> этом случае необходимо пригласить члена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ГЭК </w:t>
      </w:r>
      <w:r>
        <w:rPr>
          <w:rFonts w:ascii="Tinos" w:hAnsi="Tinos" w:cs="Tinos"/>
          <w:sz w:val="28"/>
          <w:szCs w:val="28"/>
          <w:highlight w:val="none"/>
        </w:rPr>
        <w:t xml:space="preserve">для составления акта о недопуске участника экзамена в ППЭ.</w:t>
      </w:r>
      <w:r>
        <w:rPr>
          <w:rFonts w:ascii="Tinos" w:hAnsi="Tinos" w:cs="Tinos"/>
          <w:sz w:val="28"/>
          <w:szCs w:val="28"/>
          <w:highlight w:val="none"/>
        </w:rPr>
        <w:t xml:space="preserve"> Акт составляется в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двух экземплярах: первый экземпляр член ГЭК оставляет себе </w:t>
      </w:r>
      <w:r>
        <w:rPr>
          <w:rFonts w:ascii="Tinos" w:hAnsi="Tinos" w:cs="Tinos"/>
          <w:sz w:val="28"/>
          <w:szCs w:val="28"/>
          <w:highlight w:val="none"/>
        </w:rPr>
        <w:t xml:space="preserve">для передачи председателю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ГЭК в целях расследования ситуации и принятия решения, второй экземпляр</w:t>
      </w:r>
      <w:r>
        <w:rPr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предоставляется участнику экзамена.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овместно с сотрудниками, осуществляющими охрану правопорядка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помощью стацион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арных и (или) переносных металлоискателей проверить у участников экзамена наличие запрещенных средств: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средства связи, фото-, аудио- и видеоаппаратура,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электронно-вычислительная техника, справочные материалы, письменные заметки и иные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средства хранения и передачи информации (за исключением средств обучения и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воспитания, разрешенных к использованию для выполнения заданий КИМ по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соответствующим учебным предметам)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 предъявлении участником экзамена документа о наличии соответствующих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медицинских противопоказаний участник экзамена освобождается от прохода через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стационарный и (или) переносной металлоискатель. Важно! Не допускается досмотр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участников экзаменов.</w:t>
      </w:r>
      <w:r>
        <w:rPr>
          <w:highlight w:val="none"/>
        </w:rPr>
      </w:r>
      <w:r>
        <w:rPr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Организаторы вне аудитории и сотрудники, осуществляющие охрану правопорядка,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 прикасаютс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я к участникам экзаменов и их вещам, а предлагают добровольно сдать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предмет, вызывающий сигнал металлоискателя, в помещение (место) для хранения личных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вещей участников экзаменов или сопровождающему.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3)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 проходе участника экзамена через рамку и срабатывании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металлоискателя: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а) озвучить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участнику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экзамена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зону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срабатывания,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указанную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 металлоискателе;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б) в целях исключения задержки прохода других участников экзаменов в ППЭ –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провести участника экзамена в сторону от общего потока входящих в ППЭ;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в) разъяснить участнику экзамена: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«В соответствии с пунктом 72 Порядка в день проведения экзамена в ППЭ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участникам экзаменов запрещается иметь при себе средства связи, фото-, аудио- и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видеоаппаратуру, электронно-вычислительную технику, справочные материалы,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письменные заметки и иные средства хранения и передачи информации.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 обнаружении указанных запрещенных предметов после входа в ППЭ, а также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во время проведения экзамена Вы будете удалены с экзамена без права пересдачи экзамена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резервные сроки»;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г) ручным металлоискателем указать точечно в какой зоне сохраняется сигнал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металлоискателя;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  <w:rPr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д) попросить участника экзамена пройти в помещение (место) для хранения личных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вещей и оставить запрещенный предмет в месте для хранения личных вещей или передать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его сопровождающему.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4) Если участник экзамена отказывается сдать запрещенный предмет следует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пригласить руководителя ППЭ и члена ГЭК для составления акта о недопуске участника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экзамена в ППЭ. П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овторно к участию в ЕГЭ по данному учебному предмету в резервные</w:t>
      </w:r>
      <w: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сроки указанный участник экзамена может быть допущен только по решению</w:t>
      </w:r>
      <w: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председателя ГЭК.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/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 этапе печати ЭМ и проведения инструктажа организатор вне аудитории должен по просьбе организаторов в аудитории: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приглашать технического специалиста в аудиторию в случае технического сбоя при печати ЭМ;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приглашать члена ГЭК и/или технического специалиста для активации дополнительной печати ЭМ и/или запроса резервного ключа;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приносить бумагу для печати ЭМ в случае ее недостатка в аудитории;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сообщить руководителю ППЭ об успешном начале экзамена в аудитории.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 этапе проведения экзамена организатор вне аудитории должен: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помогать участникам экзамена ориентироваться в помещениях ППЭ, указывать местонахождение нужной аудитории, а также осуществлять контроль за перемещением по ППЭ лиц, имеющих право присутствовать в ППЭ в день проведения экзамена;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следить за соблюдением тишины и порядка в ППЭ;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следить за соблюдением порядка проведения ЕГЭ в ППЭ и не допускать следующих нарушений порядка участниками экзамена, и лицами, привлекаемыми к проведению ЕГЭ, в том числе в коридорах, туалетных комнатах, медицинском пункте и т.д.: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наличия в ППЭ у указанных лиц средств связи, электронно-вычислительной техники, фото-, аудио- и видеоаппаратуры, справочных материалов, письменных заметок и иных средств хранения и передачи информации;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выноса из аудиторий и ППЭ ЭМ, черновиков на бумажном или электронном носителях, фотографирования ЭМ, черновиков;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сопровождать участников экзамена при выходе из аудитории во время экзамена.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сопровождения участника экзамена к медицинскому работнику пригласить члена (членов) ГЭК в медицинский кабинет.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выявления нарушений порядка проведения ЕГЭ следует незамедлительно обратиться к члену ГЭК (руководителю ППЭ).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 просьбе организаторов в аудитории: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временно заменять организатора в аудитории в случае если ему необходимо на короткое время покинуть аудиторию;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сообщать в Штаб ППЭ о недостатке в аудитории ДБО № 2, черновиков, приносить ДБО № 2, черновики в аудиторию.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 этапе завершения экзамена организатор вне аудитории должен: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передавать полученную от организаторов в аудитории информацию в Штаб ППЭ о завершении экзамена в аудитории, о завершении сканирования в аудитории и необходимости пригласить технического специалиста и члена ГЭК;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2"/>
          <w:numId w:val="3"/>
        </w:num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выполнять все указания руководителя ППЭ и членов ГЭК, оказывать содействие в решении ситуаций, не предусмотренных настоящей Инструкцией.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После завершения экзамена организаторы вне аудитории покидают ППЭ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только по указанию руководителя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0"/>
          <w:numId w:val="3"/>
        </w:numPr>
        <w:ind w:left="0" w:firstLine="0"/>
        <w:jc w:val="center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Действия организатора вне аудитории при проведении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ЕГЭ по иностранным языкам (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устная часть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jc w:val="center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cyan"/>
        </w:rPr>
      </w:pPr>
      <w:r>
        <w:rPr>
          <w:rFonts w:ascii="Tinos" w:hAnsi="Tinos" w:eastAsia="Tinos" w:cs="Tinos"/>
          <w:sz w:val="28"/>
          <w:szCs w:val="28"/>
          <w:highlight w:val="cyan"/>
          <w:lang w:eastAsia="ru-RU"/>
        </w:rPr>
      </w:r>
      <w:r>
        <w:rPr>
          <w:rFonts w:ascii="Tinos" w:hAnsi="Tinos" w:cs="Tinos"/>
          <w:sz w:val="28"/>
          <w:szCs w:val="28"/>
          <w:highlight w:val="cyan"/>
        </w:rPr>
      </w:r>
      <w:r>
        <w:rPr>
          <w:rFonts w:ascii="Tinos" w:hAnsi="Tinos" w:cs="Tinos"/>
          <w:sz w:val="28"/>
          <w:szCs w:val="28"/>
          <w:highlight w:val="cyan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Организаторы вне аудитории при подготовке к участию в проведении ЕГЭ по иностранным языкам (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устная часть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) руководствуются инструкцией для организаторов вне аудитории (пункты 1 – 3 настоящей инструкции).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После проведения инструктажа необходимо получить от руководителя форму ППЭ- 05-04_У и информацию о номере аудитории проведения, к которой он прикреплен.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 этапе проведения экзамена организаторы вне аудитории обязаны: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по просьбе организатора в аудитории проведения сообщить руководителю ППЭ информацию о завершении расшифровки КИМ в аудитории;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по просьбе организатора в аудитории подготовки сообщить руководителю ППЭ информацию о завершении печати бланков регистрации;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обеспечить переход участников экзамена из  аудиторий подготовки в аудитории проведения согласно форм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е ППЭ 05-04-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У, в том числе заполнять указанную форму по мере проведения экзамена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перед сопровождением первой группы участников экзамена в аудитории проведения ожидать окончания заполнения бланков регистрации устного экзамена участниками у аудитории подготовки;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пройти по всем аудиториям подготовки и набрать группу участников экзамена; 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сопроводить группу участников экзамена первой очереди в аудитории проведения; 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после перевода участников экзамена в аудиторию ожидать у аудитории прове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дения; 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318" w:leader="none"/>
        </w:tabs>
        <w:rPr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 окончании сдачи экзамена группой участников сопровождают их к выходу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из ППЭ;</w:t>
      </w:r>
      <w:r>
        <w:rPr>
          <w:highlight w:val="none"/>
        </w:rPr>
      </w:r>
      <w:r>
        <w:rPr>
          <w:highlight w:val="none"/>
        </w:rPr>
      </w:r>
    </w:p>
    <w:p>
      <w:pPr>
        <w:pStyle w:val="87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 просьбе организатора в аудитории проведения пройти по аудиториям подготовки и сформировать группу участников экзамена для следующей очереди и сопроводить ее до аудитории проведения.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Действия организатора вне аудитории в случае неявки участников экзамена.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Организатор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вне аудитории, имея при себе ведомость перемещения участников экзамена, обходит аудитории подготовки и набирает необходимую группу для «своей» аудитории проведения.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каждой группе должно быть количество участ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ников экзамена, равное количеству рабочих мест в аудитории проведения, оно указано в поле «Количество рабочих мест в аудитории проведения» ведомости перемещения. В случае неявки участников экзамена, организатор должен добрать необходимое количество явивших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ся участников экзамена, следующих по порядку в ведомости ППЭ 05-04-У. Т.е. необходимо соблюдать правило: всегда приводить в аудиторию проведения количество участников экзамена, равное количеству рабочих мест (за исключением, может быть, последней группы).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Например, организатору вне аудитории необходимо набрать группу первой очереди из 4 человек. Он приходит в аудиторию подготовки и называет фамилии из списка ППЭ-05-04-У с первой плановой 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чередью сдачи. Для присутствующих участников экзамена, в графе «Фактический по явке» организатор ставит единицу, для отсутствующих – ставится любая отметка в графе «Не явился». Допустим, не явилось два участника экзамена, в этом случае организатор должен 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ключить в текущую группу еще двоих участников экзамена следующих по порядку в ведомости ППЭ-05-04-У и проставить для них фактический номер очереди, равный единице (возможно, при этом придется перейти в следующую аудиторию подготовки согласно ППЭ-05-04-У).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tabs>
          <w:tab w:val="left" w:pos="318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Далее, при наборе группы участников эк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замена второй очереди, уже можно не ориентироваться на плановый номер очереди (она уже сбита), а просто набирать 4 человек, следующих по порядку в форме ППЭ-05-04-У за участниками экзамена, для которых заполнена графа «Фактический по явке» или «Не явился».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numPr>
          <w:ilvl w:val="1"/>
          <w:numId w:val="3"/>
        </w:numPr>
        <w:ind w:left="0" w:firstLine="720"/>
        <w:jc w:val="both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Действия организатора вне аудитории в случае выхода из строя рабочей станции в аудитории проведения.</w:t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 том, что в аудитории вышла из строя станция записи ответов, должен сообщить организатор в аудитории проведения.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это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 случае работа с очередью сдачи экзамена аналогична ситуации неявки участников экзамена за тем исключением, что очередь сбивается не из-за неявки, а из-за сокращения размера группы участников экзамена, которые должны быть приведены в аудиторию проведения.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случае если участник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, у которого во время записи устных ответов произошел технический сбой, решил воспользоваться правом выполнить задания, предусматривающие устные ответы, в тот же день, необходимо обеспечить возможность этому участнику повторно сдать экзамен с этим же бланк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ом регистрации в этой же аудитории, но на другой (в том числе резервной) станции записи ответов. Для этого участник остается в аудитории проведения до прихода следующей группы, а организатор вне аудитории должен собрать данную группу с учетом повторно сдаю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щего участника, т.е. на одного человека меньше. В случае необходимости более длительного ожидания повторной сдачи экзамена участника нужно сопроводить в Штаб ППЭ для ожидания следующей группы и при формировании этой группы включить в нее данного участника.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 окончании экзамена сдать руководителю ППЭ форму ППЭ-05-04-У.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567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Noto Sans CJK SC">
    <w:panose1 w:val="020B0502040504020204"/>
  </w:font>
  <w:font w:name="Courier New">
    <w:panose1 w:val="02070409020205020404"/>
  </w:font>
  <w:font w:name="Lohit Devanagari">
    <w:panose1 w:val="02000603000000000000"/>
  </w:font>
  <w:font w:name="Wingdings">
    <w:panose1 w:val="05010000000000000000"/>
  </w:font>
  <w:font w:name="Liberation Sans">
    <w:panose1 w:val="020B060402020202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07"/>
        <w:rPr>
          <w:rFonts w:ascii="Tinos" w:hAnsi="Tinos" w:cs="Tinos"/>
          <w:sz w:val="20"/>
          <w:szCs w:val="20"/>
        </w:rPr>
      </w:pPr>
      <w:r>
        <w:rPr>
          <w:rStyle w:val="911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Статья 14 Семейного кодекса Российской Федерации</w:t>
      </w:r>
      <w:r>
        <w:rPr>
          <w:rFonts w:ascii="Tinos" w:hAnsi="Tinos" w:eastAsia="Tinos" w:cs="Tinos"/>
          <w:sz w:val="20"/>
          <w:szCs w:val="20"/>
        </w:rPr>
        <w:t xml:space="preserve">  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  <w:footnote w:id="3">
    <w:p>
      <w:pPr>
        <w:pStyle w:val="907"/>
        <w:jc w:val="both"/>
        <w:rPr>
          <w:rFonts w:ascii="Tinos" w:hAnsi="Tinos" w:cs="Tinos"/>
          <w:sz w:val="20"/>
          <w:szCs w:val="20"/>
        </w:rPr>
      </w:pPr>
      <w:r>
        <w:rPr>
          <w:rStyle w:val="911"/>
          <w:rFonts w:ascii="Tinos" w:hAnsi="Tinos" w:eastAsia="Tinos" w:cs="Tinos"/>
          <w:sz w:val="20"/>
          <w:szCs w:val="20"/>
        </w:rPr>
        <w:footnoteRef/>
      </w:r>
      <w:r>
        <w:rPr>
          <w:rFonts w:ascii="Tinos" w:hAnsi="Tinos" w:eastAsia="Tinos" w:cs="Tinos"/>
          <w:sz w:val="20"/>
          <w:szCs w:val="20"/>
        </w:rPr>
        <w:t xml:space="preserve"> </w:t>
      </w:r>
      <w:r>
        <w:rPr>
          <w:rFonts w:ascii="Tinos" w:hAnsi="Tinos" w:eastAsia="Tinos" w:cs="Tinos"/>
          <w:sz w:val="20"/>
          <w:szCs w:val="20"/>
        </w:rPr>
        <w:t xml:space="preserve">Организаторы вне аудитории, покинувшие ППЭ в день проведения экзамена, повторно в ППЭ в указанный день не допускаются.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78"/>
      <w:isLgl w:val="false"/>
      <w:suff w:val="tab"/>
      <w:lvlText w:val="%1."/>
      <w:lvlJc w:val="left"/>
      <w:pPr>
        <w:ind w:left="2701" w:hanging="432"/>
        <w:tabs>
          <w:tab w:val="num" w:pos="0" w:leader="none"/>
        </w:tabs>
      </w:pPr>
      <w:rPr>
        <w:rFonts w:cs="Times New Roman"/>
      </w:r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80"/>
      <w:isLgl w:val="false"/>
      <w:suff w:val="tab"/>
      <w:lvlText w:val="%1.%3"/>
      <w:lvlJc w:val="left"/>
      <w:pPr>
        <w:ind w:left="414" w:hanging="720"/>
        <w:tabs>
          <w:tab w:val="num" w:pos="0" w:leader="none"/>
        </w:tabs>
      </w:pPr>
      <w:rPr>
        <w:rFonts w:cs="Times New Roman"/>
      </w:rPr>
    </w:lvl>
    <w:lvl w:ilvl="3">
      <w:start w:val="1"/>
      <w:numFmt w:val="decimal"/>
      <w:pStyle w:val="881"/>
      <w:isLgl w:val="false"/>
      <w:suff w:val="tab"/>
      <w:lvlText w:val="%1.%3.%4"/>
      <w:lvlJc w:val="left"/>
      <w:pPr>
        <w:ind w:left="270" w:hanging="864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pStyle w:val="882"/>
      <w:isLgl w:val="false"/>
      <w:suff w:val="tab"/>
      <w:lvlText w:val="%1.%3.%4.%5"/>
      <w:lvlJc w:val="left"/>
      <w:pPr>
        <w:ind w:left="126" w:hanging="1008"/>
        <w:tabs>
          <w:tab w:val="num" w:pos="0" w:leader="none"/>
        </w:tabs>
      </w:pPr>
      <w:rPr>
        <w:rFonts w:cs="Times New Roman"/>
      </w:rPr>
    </w:lvl>
    <w:lvl w:ilvl="5">
      <w:start w:val="1"/>
      <w:numFmt w:val="decimal"/>
      <w:pStyle w:val="883"/>
      <w:isLgl w:val="false"/>
      <w:suff w:val="tab"/>
      <w:lvlText w:val="%1.%3.%4.%5.%6"/>
      <w:lvlJc w:val="left"/>
      <w:pPr>
        <w:ind w:left="18" w:hanging="1152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pStyle w:val="884"/>
      <w:isLgl w:val="false"/>
      <w:suff w:val="tab"/>
      <w:lvlText w:val="%1.%3.%4.%5.%6.%7"/>
      <w:lvlJc w:val="left"/>
      <w:pPr>
        <w:ind w:left="162" w:hanging="1296"/>
        <w:tabs>
          <w:tab w:val="num" w:pos="0" w:leader="none"/>
        </w:tabs>
      </w:pPr>
      <w:rPr>
        <w:rFonts w:cs="Times New Roman"/>
      </w:rPr>
    </w:lvl>
    <w:lvl w:ilvl="7">
      <w:start w:val="1"/>
      <w:numFmt w:val="decimal"/>
      <w:pStyle w:val="885"/>
      <w:isLgl w:val="false"/>
      <w:suff w:val="tab"/>
      <w:lvlText w:val="%1.%3.%4.%5.%6.%7.%8"/>
      <w:lvlJc w:val="left"/>
      <w:pPr>
        <w:ind w:left="306" w:hanging="1440"/>
        <w:tabs>
          <w:tab w:val="num" w:pos="0" w:leader="none"/>
        </w:tabs>
      </w:pPr>
      <w:rPr>
        <w:rFonts w:cs="Times New Roman"/>
      </w:rPr>
    </w:lvl>
    <w:lvl w:ilvl="8">
      <w:start w:val="1"/>
      <w:numFmt w:val="decimal"/>
      <w:pStyle w:val="886"/>
      <w:isLgl w:val="false"/>
      <w:suff w:val="tab"/>
      <w:lvlText w:val="%1.%3.%4.%5.%6.%7.%8.%9"/>
      <w:lvlJc w:val="left"/>
      <w:pPr>
        <w:ind w:left="450" w:hanging="1584"/>
        <w:tabs>
          <w:tab w:val="num" w:pos="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pStyle w:val="908"/>
      <w:isLgl w:val="false"/>
      <w:suff w:val="tab"/>
      <w:lvlText w:val="%1."/>
      <w:lvlJc w:val="left"/>
      <w:pPr>
        <w:ind w:left="1069" w:hanging="360"/>
        <w:tabs>
          <w:tab w:val="num" w:pos="0" w:leader="none"/>
        </w:tabs>
      </w:pPr>
      <w:rPr>
        <w:rFonts w:cs="Times New Roman"/>
        <w:b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0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1170" w:hanging="450"/>
      </w:pPr>
      <w:rPr>
        <w:rFonts w:ascii="Times New Roman" w:hAnsi="Times New Roman" w:cs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  <w:rPr>
        <w:rFonts w:ascii="Times New Roman" w:hAnsi="Times New Roman" w:cs="Times New Roman"/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720"/>
      </w:pPr>
      <w:rPr>
        <w:rFonts w:ascii="Times New Roman" w:hAnsi="Times New Roman" w:cs="Times New Roman"/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  <w:rPr>
        <w:rFonts w:ascii="Times New Roman" w:hAnsi="Times New Roman" w:cs="Times New Roman"/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080"/>
      </w:pPr>
      <w:rPr>
        <w:rFonts w:ascii="Times New Roman" w:hAnsi="Times New Roman" w:cs="Times New Roman"/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</w:pPr>
      <w:rPr>
        <w:rFonts w:ascii="Times New Roman" w:hAnsi="Times New Roman" w:cs="Times New Roman"/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440"/>
      </w:pPr>
      <w:rPr>
        <w:rFonts w:ascii="Times New Roman" w:hAnsi="Times New Roman" w:cs="Times New Roman"/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</w:pPr>
      <w:rPr>
        <w:rFonts w:ascii="Times New Roman" w:hAnsi="Times New Roman" w:cs="Times New Roman"/>
        <w:sz w:val="2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1170" w:hanging="450"/>
      </w:pPr>
      <w:rPr>
        <w:rFonts w:ascii="Times New Roman" w:hAnsi="Times New Roman" w:cs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  <w:rPr>
        <w:rFonts w:ascii="Times New Roman" w:hAnsi="Times New Roman" w:cs="Times New Roman"/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720"/>
      </w:pPr>
      <w:rPr>
        <w:rFonts w:ascii="Times New Roman" w:hAnsi="Times New Roman" w:cs="Times New Roman"/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  <w:rPr>
        <w:rFonts w:ascii="Times New Roman" w:hAnsi="Times New Roman" w:cs="Times New Roman"/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080"/>
      </w:pPr>
      <w:rPr>
        <w:rFonts w:ascii="Times New Roman" w:hAnsi="Times New Roman" w:cs="Times New Roman"/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</w:pPr>
      <w:rPr>
        <w:rFonts w:ascii="Times New Roman" w:hAnsi="Times New Roman" w:cs="Times New Roman"/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440"/>
      </w:pPr>
      <w:rPr>
        <w:rFonts w:ascii="Times New Roman" w:hAnsi="Times New Roman" w:cs="Times New Roman"/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</w:pPr>
      <w:rPr>
        <w:rFonts w:ascii="Times New Roman" w:hAnsi="Times New Roman" w:cs="Times New Roman"/>
        <w:sz w:val="28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Calibri" w:cs="Times New Roman"/>
        <w:sz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1443" w:hanging="450"/>
      </w:pPr>
      <w:rPr>
        <w:rFonts w:ascii="Times New Roman" w:hAnsi="Times New Roman" w:eastAsia="Calibri" w:cs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71" w:hanging="720"/>
      </w:pPr>
      <w:rPr>
        <w:rFonts w:ascii="Times New Roman" w:hAnsi="Times New Roman" w:eastAsia="Calibri" w:cs="Times New Roman"/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720"/>
      </w:pPr>
      <w:rPr>
        <w:rFonts w:ascii="Times New Roman" w:hAnsi="Times New Roman" w:eastAsia="Calibri" w:cs="Times New Roman"/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320" w:hanging="1080"/>
      </w:pPr>
      <w:rPr>
        <w:rFonts w:ascii="Times New Roman" w:hAnsi="Times New Roman" w:eastAsia="Calibri" w:cs="Times New Roman"/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080"/>
      </w:pPr>
      <w:rPr>
        <w:rFonts w:ascii="Times New Roman" w:hAnsi="Times New Roman" w:eastAsia="Calibri" w:cs="Times New Roman"/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440"/>
      </w:pPr>
      <w:rPr>
        <w:rFonts w:ascii="Times New Roman" w:hAnsi="Times New Roman" w:eastAsia="Calibri" w:cs="Times New Roman"/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440"/>
      </w:pPr>
      <w:rPr>
        <w:rFonts w:ascii="Times New Roman" w:hAnsi="Times New Roman" w:eastAsia="Calibri" w:cs="Times New Roman"/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1800"/>
      </w:pPr>
      <w:rPr>
        <w:rFonts w:ascii="Times New Roman" w:hAnsi="Times New Roman" w:eastAsia="Calibri" w:cs="Times New Roman"/>
        <w:sz w:val="28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1170" w:hanging="450"/>
      </w:pPr>
      <w:rPr>
        <w:rFonts w:ascii="Times New Roman" w:hAnsi="Times New Roman" w:cs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  <w:rPr>
        <w:rFonts w:ascii="Times New Roman" w:hAnsi="Times New Roman" w:cs="Times New Roman"/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720"/>
      </w:pPr>
      <w:rPr>
        <w:rFonts w:ascii="Times New Roman" w:hAnsi="Times New Roman" w:cs="Times New Roman"/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  <w:rPr>
        <w:rFonts w:ascii="Times New Roman" w:hAnsi="Times New Roman" w:cs="Times New Roman"/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080"/>
      </w:pPr>
      <w:rPr>
        <w:rFonts w:ascii="Times New Roman" w:hAnsi="Times New Roman" w:cs="Times New Roman"/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</w:pPr>
      <w:rPr>
        <w:rFonts w:ascii="Times New Roman" w:hAnsi="Times New Roman" w:cs="Times New Roman"/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440"/>
      </w:pPr>
      <w:rPr>
        <w:rFonts w:ascii="Times New Roman" w:hAnsi="Times New Roman" w:cs="Times New Roman"/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</w:pPr>
      <w:rPr>
        <w:rFonts w:ascii="Times New Roman" w:hAnsi="Times New Roman" w:cs="Times New Roman"/>
        <w:sz w:val="28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2" w:hanging="346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446" w:hanging="346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493" w:hanging="346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539" w:hanging="346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86" w:hanging="346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633" w:hanging="346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679" w:hanging="346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726" w:hanging="346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773" w:hanging="346"/>
      </w:pPr>
      <w:rPr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1170" w:hanging="450"/>
      </w:pPr>
      <w:rPr>
        <w:rFonts w:ascii="Times New Roman" w:hAnsi="Times New Roman" w:cs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  <w:rPr>
        <w:rFonts w:ascii="Times New Roman" w:hAnsi="Times New Roman" w:cs="Times New Roman"/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720"/>
      </w:pPr>
      <w:rPr>
        <w:rFonts w:ascii="Times New Roman" w:hAnsi="Times New Roman" w:cs="Times New Roman"/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  <w:rPr>
        <w:rFonts w:ascii="Times New Roman" w:hAnsi="Times New Roman" w:cs="Times New Roman"/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080"/>
      </w:pPr>
      <w:rPr>
        <w:rFonts w:ascii="Times New Roman" w:hAnsi="Times New Roman" w:cs="Times New Roman"/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</w:pPr>
      <w:rPr>
        <w:rFonts w:ascii="Times New Roman" w:hAnsi="Times New Roman" w:cs="Times New Roman"/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440"/>
      </w:pPr>
      <w:rPr>
        <w:rFonts w:ascii="Times New Roman" w:hAnsi="Times New Roman" w:cs="Times New Roman"/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</w:pPr>
      <w:rPr>
        <w:rFonts w:ascii="Times New Roman" w:hAnsi="Times New Roman" w:cs="Times New Roman"/>
        <w:sz w:val="28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basedOn w:val="877"/>
    <w:next w:val="877"/>
    <w:link w:val="70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0">
    <w:name w:val="Heading 1 Char"/>
    <w:link w:val="699"/>
    <w:uiPriority w:val="9"/>
    <w:rPr>
      <w:rFonts w:ascii="Arial" w:hAnsi="Arial" w:eastAsia="Arial" w:cs="Arial"/>
      <w:sz w:val="40"/>
      <w:szCs w:val="40"/>
    </w:rPr>
  </w:style>
  <w:style w:type="paragraph" w:styleId="701">
    <w:name w:val="Heading 2"/>
    <w:basedOn w:val="877"/>
    <w:next w:val="877"/>
    <w:link w:val="70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2">
    <w:name w:val="Heading 2 Char"/>
    <w:link w:val="701"/>
    <w:uiPriority w:val="9"/>
    <w:rPr>
      <w:rFonts w:ascii="Arial" w:hAnsi="Arial" w:eastAsia="Arial" w:cs="Arial"/>
      <w:sz w:val="34"/>
    </w:rPr>
  </w:style>
  <w:style w:type="paragraph" w:styleId="703">
    <w:name w:val="Heading 3"/>
    <w:basedOn w:val="877"/>
    <w:next w:val="877"/>
    <w:link w:val="70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4">
    <w:name w:val="Heading 3 Char"/>
    <w:link w:val="703"/>
    <w:uiPriority w:val="9"/>
    <w:rPr>
      <w:rFonts w:ascii="Arial" w:hAnsi="Arial" w:eastAsia="Arial" w:cs="Arial"/>
      <w:sz w:val="30"/>
      <w:szCs w:val="30"/>
    </w:rPr>
  </w:style>
  <w:style w:type="paragraph" w:styleId="705">
    <w:name w:val="Heading 4"/>
    <w:basedOn w:val="877"/>
    <w:next w:val="877"/>
    <w:link w:val="70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6">
    <w:name w:val="Heading 4 Char"/>
    <w:link w:val="705"/>
    <w:uiPriority w:val="9"/>
    <w:rPr>
      <w:rFonts w:ascii="Arial" w:hAnsi="Arial" w:eastAsia="Arial" w:cs="Arial"/>
      <w:b/>
      <w:bCs/>
      <w:sz w:val="26"/>
      <w:szCs w:val="26"/>
    </w:rPr>
  </w:style>
  <w:style w:type="paragraph" w:styleId="707">
    <w:name w:val="Heading 5"/>
    <w:basedOn w:val="877"/>
    <w:next w:val="877"/>
    <w:link w:val="70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8">
    <w:name w:val="Heading 5 Char"/>
    <w:link w:val="707"/>
    <w:uiPriority w:val="9"/>
    <w:rPr>
      <w:rFonts w:ascii="Arial" w:hAnsi="Arial" w:eastAsia="Arial" w:cs="Arial"/>
      <w:b/>
      <w:bCs/>
      <w:sz w:val="24"/>
      <w:szCs w:val="24"/>
    </w:rPr>
  </w:style>
  <w:style w:type="paragraph" w:styleId="709">
    <w:name w:val="Heading 6"/>
    <w:basedOn w:val="877"/>
    <w:next w:val="877"/>
    <w:link w:val="7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0">
    <w:name w:val="Heading 6 Char"/>
    <w:link w:val="709"/>
    <w:uiPriority w:val="9"/>
    <w:rPr>
      <w:rFonts w:ascii="Arial" w:hAnsi="Arial" w:eastAsia="Arial" w:cs="Arial"/>
      <w:b/>
      <w:bCs/>
      <w:sz w:val="22"/>
      <w:szCs w:val="22"/>
    </w:rPr>
  </w:style>
  <w:style w:type="paragraph" w:styleId="711">
    <w:name w:val="Heading 7"/>
    <w:basedOn w:val="877"/>
    <w:next w:val="877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2">
    <w:name w:val="Heading 7 Char"/>
    <w:link w:val="7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3">
    <w:name w:val="Heading 8"/>
    <w:basedOn w:val="877"/>
    <w:next w:val="877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4">
    <w:name w:val="Heading 8 Char"/>
    <w:link w:val="713"/>
    <w:uiPriority w:val="9"/>
    <w:rPr>
      <w:rFonts w:ascii="Arial" w:hAnsi="Arial" w:eastAsia="Arial" w:cs="Arial"/>
      <w:i/>
      <w:iCs/>
      <w:sz w:val="22"/>
      <w:szCs w:val="22"/>
    </w:rPr>
  </w:style>
  <w:style w:type="paragraph" w:styleId="715">
    <w:name w:val="Heading 9"/>
    <w:basedOn w:val="877"/>
    <w:next w:val="877"/>
    <w:link w:val="71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6">
    <w:name w:val="Heading 9 Char"/>
    <w:link w:val="715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List Paragraph"/>
    <w:basedOn w:val="877"/>
    <w:uiPriority w:val="34"/>
    <w:qFormat/>
    <w:pPr>
      <w:contextualSpacing/>
      <w:ind w:left="720"/>
    </w:pPr>
  </w:style>
  <w:style w:type="paragraph" w:styleId="718">
    <w:name w:val="No Spacing"/>
    <w:uiPriority w:val="1"/>
    <w:qFormat/>
    <w:pPr>
      <w:spacing w:before="0" w:after="0" w:line="240" w:lineRule="auto"/>
    </w:pPr>
  </w:style>
  <w:style w:type="paragraph" w:styleId="719">
    <w:name w:val="Title"/>
    <w:basedOn w:val="877"/>
    <w:next w:val="877"/>
    <w:link w:val="7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0">
    <w:name w:val="Title Char"/>
    <w:link w:val="719"/>
    <w:uiPriority w:val="10"/>
    <w:rPr>
      <w:sz w:val="48"/>
      <w:szCs w:val="48"/>
    </w:rPr>
  </w:style>
  <w:style w:type="paragraph" w:styleId="721">
    <w:name w:val="Subtitle"/>
    <w:basedOn w:val="877"/>
    <w:next w:val="877"/>
    <w:link w:val="722"/>
    <w:uiPriority w:val="11"/>
    <w:qFormat/>
    <w:pPr>
      <w:spacing w:before="200" w:after="200"/>
    </w:pPr>
    <w:rPr>
      <w:sz w:val="24"/>
      <w:szCs w:val="24"/>
    </w:rPr>
  </w:style>
  <w:style w:type="character" w:styleId="722">
    <w:name w:val="Subtitle Char"/>
    <w:link w:val="721"/>
    <w:uiPriority w:val="11"/>
    <w:rPr>
      <w:sz w:val="24"/>
      <w:szCs w:val="24"/>
    </w:rPr>
  </w:style>
  <w:style w:type="paragraph" w:styleId="723">
    <w:name w:val="Quote"/>
    <w:basedOn w:val="877"/>
    <w:next w:val="877"/>
    <w:link w:val="724"/>
    <w:uiPriority w:val="29"/>
    <w:qFormat/>
    <w:pPr>
      <w:ind w:left="720" w:right="720"/>
    </w:pPr>
    <w:rPr>
      <w:i/>
    </w:rPr>
  </w:style>
  <w:style w:type="character" w:styleId="724">
    <w:name w:val="Quote Char"/>
    <w:link w:val="723"/>
    <w:uiPriority w:val="29"/>
    <w:rPr>
      <w:i/>
    </w:rPr>
  </w:style>
  <w:style w:type="paragraph" w:styleId="725">
    <w:name w:val="Intense Quote"/>
    <w:basedOn w:val="877"/>
    <w:next w:val="877"/>
    <w:link w:val="72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>
    <w:name w:val="Intense Quote Char"/>
    <w:link w:val="725"/>
    <w:uiPriority w:val="30"/>
    <w:rPr>
      <w:i/>
    </w:rPr>
  </w:style>
  <w:style w:type="paragraph" w:styleId="727">
    <w:name w:val="Header"/>
    <w:basedOn w:val="877"/>
    <w:link w:val="7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>
    <w:name w:val="Header Char"/>
    <w:link w:val="727"/>
    <w:uiPriority w:val="99"/>
  </w:style>
  <w:style w:type="paragraph" w:styleId="729">
    <w:name w:val="Footer"/>
    <w:basedOn w:val="877"/>
    <w:link w:val="73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0">
    <w:name w:val="Footer Char"/>
    <w:link w:val="729"/>
    <w:uiPriority w:val="99"/>
  </w:style>
  <w:style w:type="paragraph" w:styleId="731">
    <w:name w:val="Caption"/>
    <w:basedOn w:val="877"/>
    <w:next w:val="8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2">
    <w:name w:val="Caption Char"/>
    <w:basedOn w:val="731"/>
    <w:link w:val="729"/>
    <w:uiPriority w:val="99"/>
  </w:style>
  <w:style w:type="table" w:styleId="73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000ff" w:themeColor="hyperlink"/>
      <w:u w:val="single"/>
    </w:rPr>
  </w:style>
  <w:style w:type="paragraph" w:styleId="860">
    <w:name w:val="footnote text"/>
    <w:basedOn w:val="877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>
    <w:name w:val="Footnote Text Char"/>
    <w:link w:val="860"/>
    <w:uiPriority w:val="99"/>
    <w:rPr>
      <w:sz w:val="18"/>
    </w:rPr>
  </w:style>
  <w:style w:type="character" w:styleId="862">
    <w:name w:val="footnote reference"/>
    <w:uiPriority w:val="99"/>
    <w:unhideWhenUsed/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>
    <w:name w:val="Endnote Text Char"/>
    <w:link w:val="863"/>
    <w:uiPriority w:val="99"/>
    <w:rPr>
      <w:sz w:val="20"/>
    </w:rPr>
  </w:style>
  <w:style w:type="character" w:styleId="865">
    <w:name w:val="endnote reference"/>
    <w:uiPriority w:val="99"/>
    <w:semiHidden/>
    <w:unhideWhenUsed/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ind w:left="0" w:right="0" w:firstLine="0"/>
      <w:spacing w:after="57"/>
    </w:pPr>
  </w:style>
  <w:style w:type="paragraph" w:styleId="867">
    <w:name w:val="toc 2"/>
    <w:basedOn w:val="877"/>
    <w:next w:val="877"/>
    <w:uiPriority w:val="39"/>
    <w:unhideWhenUsed/>
    <w:pPr>
      <w:ind w:left="283" w:right="0" w:firstLine="0"/>
      <w:spacing w:after="57"/>
    </w:pPr>
  </w:style>
  <w:style w:type="paragraph" w:styleId="868">
    <w:name w:val="toc 3"/>
    <w:basedOn w:val="877"/>
    <w:next w:val="877"/>
    <w:uiPriority w:val="39"/>
    <w:unhideWhenUsed/>
    <w:pPr>
      <w:ind w:left="567" w:right="0" w:firstLine="0"/>
      <w:spacing w:after="57"/>
    </w:pPr>
  </w:style>
  <w:style w:type="paragraph" w:styleId="869">
    <w:name w:val="toc 4"/>
    <w:basedOn w:val="877"/>
    <w:next w:val="877"/>
    <w:uiPriority w:val="39"/>
    <w:unhideWhenUsed/>
    <w:pPr>
      <w:ind w:left="850" w:right="0" w:firstLine="0"/>
      <w:spacing w:after="57"/>
    </w:pPr>
  </w:style>
  <w:style w:type="paragraph" w:styleId="870">
    <w:name w:val="toc 5"/>
    <w:basedOn w:val="877"/>
    <w:next w:val="877"/>
    <w:uiPriority w:val="39"/>
    <w:unhideWhenUsed/>
    <w:pPr>
      <w:ind w:left="1134" w:right="0" w:firstLine="0"/>
      <w:spacing w:after="57"/>
    </w:pPr>
  </w:style>
  <w:style w:type="paragraph" w:styleId="871">
    <w:name w:val="toc 6"/>
    <w:basedOn w:val="877"/>
    <w:next w:val="877"/>
    <w:uiPriority w:val="39"/>
    <w:unhideWhenUsed/>
    <w:pPr>
      <w:ind w:left="1417" w:right="0" w:firstLine="0"/>
      <w:spacing w:after="57"/>
    </w:pPr>
  </w:style>
  <w:style w:type="paragraph" w:styleId="872">
    <w:name w:val="toc 7"/>
    <w:basedOn w:val="877"/>
    <w:next w:val="877"/>
    <w:uiPriority w:val="39"/>
    <w:unhideWhenUsed/>
    <w:pPr>
      <w:ind w:left="1701" w:right="0" w:firstLine="0"/>
      <w:spacing w:after="57"/>
    </w:pPr>
  </w:style>
  <w:style w:type="paragraph" w:styleId="873">
    <w:name w:val="toc 8"/>
    <w:basedOn w:val="877"/>
    <w:next w:val="877"/>
    <w:uiPriority w:val="39"/>
    <w:unhideWhenUsed/>
    <w:pPr>
      <w:ind w:left="1984" w:right="0" w:firstLine="0"/>
      <w:spacing w:after="57"/>
    </w:pPr>
  </w:style>
  <w:style w:type="paragraph" w:styleId="874">
    <w:name w:val="toc 9"/>
    <w:basedOn w:val="877"/>
    <w:next w:val="877"/>
    <w:uiPriority w:val="39"/>
    <w:unhideWhenUsed/>
    <w:pPr>
      <w:ind w:left="2268" w:right="0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877" w:default="1">
    <w:name w:val="Normal"/>
    <w:next w:val="877"/>
    <w:link w:val="877"/>
    <w:qFormat/>
    <w:pPr>
      <w:spacing w:after="200" w:line="276" w:lineRule="auto"/>
    </w:pPr>
    <w:rPr>
      <w:rFonts w:ascii="Calibri" w:hAnsi="Calibri" w:cs="Calibri"/>
      <w:sz w:val="22"/>
      <w:szCs w:val="22"/>
      <w:lang w:val="ru-RU" w:eastAsia="zh-CN" w:bidi="ar-SA"/>
    </w:rPr>
  </w:style>
  <w:style w:type="paragraph" w:styleId="878">
    <w:name w:val="Заголовок 1"/>
    <w:basedOn w:val="877"/>
    <w:next w:val="877"/>
    <w:link w:val="877"/>
    <w:qFormat/>
    <w:pPr>
      <w:numPr>
        <w:ilvl w:val="0"/>
        <w:numId w:val="1"/>
      </w:numPr>
      <w:ind w:left="0" w:right="0" w:firstLine="0"/>
      <w:jc w:val="center"/>
      <w:keepLines/>
      <w:keepNext/>
      <w:spacing w:before="60" w:after="120" w:line="240" w:lineRule="auto"/>
      <w:outlineLvl w:val="0"/>
    </w:pPr>
    <w:rPr>
      <w:rFonts w:ascii="Times New Roman" w:hAnsi="Times New Roman" w:eastAsia="Calibri" w:cs="Times New Roman"/>
      <w:b/>
      <w:bCs/>
      <w:sz w:val="32"/>
      <w:szCs w:val="32"/>
    </w:rPr>
  </w:style>
  <w:style w:type="paragraph" w:styleId="879">
    <w:name w:val="Заголовок 2"/>
    <w:basedOn w:val="877"/>
    <w:next w:val="877"/>
    <w:link w:val="877"/>
    <w:qFormat/>
    <w:pPr>
      <w:numPr>
        <w:ilvl w:val="0"/>
        <w:numId w:val="0"/>
      </w:numPr>
      <w:ind w:left="709" w:right="0" w:hanging="360"/>
      <w:keepLines/>
      <w:keepNext/>
      <w:spacing w:before="240" w:after="120" w:line="240" w:lineRule="auto"/>
    </w:pPr>
    <w:rPr>
      <w:rFonts w:ascii="Times New Roman" w:hAnsi="Times New Roman" w:eastAsia="Calibri" w:cs="Times New Roman"/>
      <w:b/>
      <w:bCs/>
      <w:sz w:val="28"/>
      <w:szCs w:val="26"/>
    </w:rPr>
  </w:style>
  <w:style w:type="paragraph" w:styleId="880">
    <w:name w:val="Заголовок 3"/>
    <w:basedOn w:val="877"/>
    <w:next w:val="877"/>
    <w:link w:val="877"/>
    <w:qFormat/>
    <w:pPr>
      <w:numPr>
        <w:ilvl w:val="2"/>
        <w:numId w:val="1"/>
      </w:numPr>
      <w:keepLines/>
      <w:keepNext/>
      <w:spacing w:before="200" w:after="0" w:line="240" w:lineRule="auto"/>
      <w:outlineLvl w:val="2"/>
    </w:pPr>
    <w:rPr>
      <w:rFonts w:ascii="Cambria" w:hAnsi="Cambria" w:eastAsia="Calibri" w:cs="Cambria"/>
      <w:b/>
      <w:bCs/>
      <w:color w:val="4f81bd"/>
      <w:sz w:val="24"/>
      <w:szCs w:val="24"/>
    </w:rPr>
  </w:style>
  <w:style w:type="paragraph" w:styleId="881">
    <w:name w:val="Заголовок 4"/>
    <w:basedOn w:val="877"/>
    <w:next w:val="877"/>
    <w:link w:val="877"/>
    <w:qFormat/>
    <w:pPr>
      <w:numPr>
        <w:ilvl w:val="3"/>
        <w:numId w:val="1"/>
      </w:numPr>
      <w:keepLines/>
      <w:keepNext/>
      <w:spacing w:before="200" w:after="0" w:line="240" w:lineRule="auto"/>
      <w:outlineLvl w:val="3"/>
    </w:pPr>
    <w:rPr>
      <w:rFonts w:ascii="Cambria" w:hAnsi="Cambria" w:eastAsia="Calibri" w:cs="Cambria"/>
      <w:b/>
      <w:bCs/>
      <w:i/>
      <w:iCs/>
      <w:color w:val="4f81bd"/>
      <w:sz w:val="24"/>
      <w:szCs w:val="24"/>
    </w:rPr>
  </w:style>
  <w:style w:type="paragraph" w:styleId="882">
    <w:name w:val="Заголовок 5"/>
    <w:basedOn w:val="877"/>
    <w:next w:val="877"/>
    <w:link w:val="877"/>
    <w:qFormat/>
    <w:pPr>
      <w:numPr>
        <w:ilvl w:val="4"/>
        <w:numId w:val="1"/>
      </w:numPr>
      <w:keepLines/>
      <w:keepNext/>
      <w:spacing w:before="200" w:after="0" w:line="240" w:lineRule="auto"/>
      <w:outlineLvl w:val="4"/>
    </w:pPr>
    <w:rPr>
      <w:rFonts w:ascii="Cambria" w:hAnsi="Cambria" w:eastAsia="Calibri" w:cs="Cambria"/>
      <w:color w:val="243f60"/>
      <w:sz w:val="24"/>
      <w:szCs w:val="24"/>
    </w:rPr>
  </w:style>
  <w:style w:type="paragraph" w:styleId="883">
    <w:name w:val="Заголовок 6"/>
    <w:basedOn w:val="877"/>
    <w:next w:val="877"/>
    <w:link w:val="877"/>
    <w:qFormat/>
    <w:pPr>
      <w:numPr>
        <w:ilvl w:val="5"/>
        <w:numId w:val="1"/>
      </w:numPr>
      <w:keepLines/>
      <w:keepNext/>
      <w:spacing w:before="200" w:after="0" w:line="240" w:lineRule="auto"/>
      <w:outlineLvl w:val="5"/>
    </w:pPr>
    <w:rPr>
      <w:rFonts w:ascii="Cambria" w:hAnsi="Cambria" w:eastAsia="Calibri" w:cs="Cambria"/>
      <w:i/>
      <w:iCs/>
      <w:color w:val="243f60"/>
      <w:sz w:val="24"/>
      <w:szCs w:val="24"/>
    </w:rPr>
  </w:style>
  <w:style w:type="paragraph" w:styleId="884">
    <w:name w:val="Заголовок 7"/>
    <w:basedOn w:val="877"/>
    <w:next w:val="877"/>
    <w:link w:val="877"/>
    <w:qFormat/>
    <w:pPr>
      <w:numPr>
        <w:ilvl w:val="6"/>
        <w:numId w:val="1"/>
      </w:numPr>
      <w:keepLines/>
      <w:keepNext/>
      <w:spacing w:before="200" w:after="0" w:line="240" w:lineRule="auto"/>
      <w:outlineLvl w:val="6"/>
    </w:pPr>
    <w:rPr>
      <w:rFonts w:ascii="Cambria" w:hAnsi="Cambria" w:eastAsia="Calibri" w:cs="Cambria"/>
      <w:i/>
      <w:iCs/>
      <w:color w:val="404040"/>
      <w:sz w:val="24"/>
      <w:szCs w:val="24"/>
    </w:rPr>
  </w:style>
  <w:style w:type="paragraph" w:styleId="885">
    <w:name w:val="Заголовок 8"/>
    <w:basedOn w:val="877"/>
    <w:next w:val="877"/>
    <w:link w:val="877"/>
    <w:qFormat/>
    <w:pPr>
      <w:numPr>
        <w:ilvl w:val="7"/>
        <w:numId w:val="1"/>
      </w:numPr>
      <w:keepLines/>
      <w:keepNext/>
      <w:spacing w:before="200" w:after="0" w:line="240" w:lineRule="auto"/>
      <w:outlineLvl w:val="7"/>
    </w:pPr>
    <w:rPr>
      <w:rFonts w:ascii="Cambria" w:hAnsi="Cambria" w:eastAsia="Calibri" w:cs="Cambria"/>
      <w:color w:val="404040"/>
      <w:sz w:val="20"/>
      <w:szCs w:val="20"/>
    </w:rPr>
  </w:style>
  <w:style w:type="paragraph" w:styleId="886">
    <w:name w:val="Заголовок 9"/>
    <w:basedOn w:val="877"/>
    <w:next w:val="877"/>
    <w:link w:val="877"/>
    <w:qFormat/>
    <w:pPr>
      <w:numPr>
        <w:ilvl w:val="8"/>
        <w:numId w:val="1"/>
      </w:numPr>
      <w:keepLines/>
      <w:keepNext/>
      <w:spacing w:before="200" w:after="0" w:line="240" w:lineRule="auto"/>
      <w:outlineLvl w:val="8"/>
    </w:pPr>
    <w:rPr>
      <w:rFonts w:ascii="Cambria" w:hAnsi="Cambria" w:eastAsia="Calibri" w:cs="Cambria"/>
      <w:i/>
      <w:iCs/>
      <w:color w:val="404040"/>
      <w:sz w:val="20"/>
      <w:szCs w:val="20"/>
    </w:rPr>
  </w:style>
  <w:style w:type="character" w:styleId="887">
    <w:name w:val="Основной шрифт абзаца"/>
    <w:next w:val="887"/>
    <w:link w:val="877"/>
    <w:uiPriority w:val="1"/>
    <w:semiHidden/>
    <w:unhideWhenUsed/>
  </w:style>
  <w:style w:type="table" w:styleId="888">
    <w:name w:val="Обычная таблица"/>
    <w:next w:val="888"/>
    <w:link w:val="877"/>
    <w:uiPriority w:val="99"/>
    <w:semiHidden/>
    <w:unhideWhenUsed/>
    <w:tblPr/>
  </w:style>
  <w:style w:type="numbering" w:styleId="889">
    <w:name w:val="Нет списка"/>
    <w:next w:val="889"/>
    <w:link w:val="877"/>
    <w:uiPriority w:val="99"/>
    <w:semiHidden/>
    <w:unhideWhenUsed/>
  </w:style>
  <w:style w:type="character" w:styleId="890">
    <w:name w:val="WW8Num1z0"/>
    <w:next w:val="890"/>
    <w:link w:val="877"/>
    <w:rPr>
      <w:rFonts w:cs="Times New Roman"/>
    </w:rPr>
  </w:style>
  <w:style w:type="character" w:styleId="891">
    <w:name w:val="WW8Num1z1"/>
    <w:next w:val="891"/>
    <w:link w:val="877"/>
    <w:rPr>
      <w:rFonts w:ascii="Times New Roman" w:hAnsi="Times New Roman" w:cs="Times New Roman"/>
      <w:b/>
      <w:sz w:val="28"/>
      <w:szCs w:val="28"/>
    </w:rPr>
  </w:style>
  <w:style w:type="character" w:styleId="892">
    <w:name w:val="WW8Num2z0"/>
    <w:next w:val="892"/>
    <w:link w:val="877"/>
    <w:rPr>
      <w:rFonts w:cs="Times New Roman"/>
      <w:b/>
      <w:i/>
    </w:rPr>
  </w:style>
  <w:style w:type="character" w:styleId="893">
    <w:name w:val="WW8Num2z1"/>
    <w:next w:val="893"/>
    <w:link w:val="877"/>
    <w:rPr>
      <w:rFonts w:cs="Times New Roman"/>
    </w:rPr>
  </w:style>
  <w:style w:type="character" w:styleId="894">
    <w:name w:val="WW8Num3z0"/>
    <w:next w:val="894"/>
    <w:link w:val="877"/>
    <w:rPr>
      <w:rFonts w:cs="Times New Roman"/>
    </w:rPr>
  </w:style>
  <w:style w:type="character" w:styleId="895">
    <w:name w:val="Основной шрифт абзаца1"/>
    <w:next w:val="895"/>
    <w:link w:val="877"/>
  </w:style>
  <w:style w:type="character" w:styleId="896">
    <w:name w:val="Заголовок 2 Знак"/>
    <w:basedOn w:val="895"/>
    <w:next w:val="896"/>
    <w:link w:val="877"/>
    <w:rPr>
      <w:rFonts w:eastAsia="Calibri"/>
      <w:b/>
      <w:bCs/>
      <w:sz w:val="28"/>
      <w:szCs w:val="26"/>
      <w:lang w:val="ru-RU" w:bidi="ar-SA"/>
    </w:rPr>
  </w:style>
  <w:style w:type="character" w:styleId="897">
    <w:name w:val="Текст сноски Знак"/>
    <w:basedOn w:val="895"/>
    <w:next w:val="897"/>
    <w:link w:val="877"/>
    <w:uiPriority w:val="99"/>
    <w:rPr>
      <w:lang w:val="ru-RU" w:bidi="ar-SA"/>
    </w:rPr>
  </w:style>
  <w:style w:type="character" w:styleId="898">
    <w:name w:val="Символ сноски"/>
    <w:basedOn w:val="895"/>
    <w:next w:val="898"/>
    <w:link w:val="877"/>
    <w:rPr>
      <w:vertAlign w:val="superscript"/>
    </w:rPr>
  </w:style>
  <w:style w:type="character" w:styleId="899">
    <w:name w:val="МР заголовок2 Знак"/>
    <w:basedOn w:val="895"/>
    <w:next w:val="899"/>
    <w:link w:val="877"/>
    <w:rPr>
      <w:b/>
      <w:sz w:val="28"/>
      <w:szCs w:val="28"/>
      <w:lang w:val="ru-RU" w:bidi="ar-SA"/>
    </w:rPr>
  </w:style>
  <w:style w:type="character" w:styleId="900">
    <w:name w:val=" Знак Знак11"/>
    <w:basedOn w:val="895"/>
    <w:next w:val="900"/>
    <w:link w:val="877"/>
    <w:rPr>
      <w:rFonts w:ascii="Times New Roman" w:hAnsi="Times New Roman" w:eastAsia="Times New Roman" w:cs="Times New Roman"/>
      <w:sz w:val="20"/>
      <w:szCs w:val="20"/>
      <w:lang w:val="en-US"/>
    </w:rPr>
  </w:style>
  <w:style w:type="character" w:styleId="901">
    <w:name w:val="Номер страницы"/>
    <w:basedOn w:val="895"/>
    <w:next w:val="901"/>
    <w:link w:val="877"/>
  </w:style>
  <w:style w:type="paragraph" w:styleId="902">
    <w:name w:val="Заголовок"/>
    <w:basedOn w:val="877"/>
    <w:next w:val="903"/>
    <w:link w:val="877"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903">
    <w:name w:val="Основной текст"/>
    <w:basedOn w:val="877"/>
    <w:next w:val="903"/>
    <w:link w:val="877"/>
    <w:pPr>
      <w:spacing w:before="0" w:after="140" w:line="276" w:lineRule="auto"/>
    </w:pPr>
  </w:style>
  <w:style w:type="paragraph" w:styleId="904">
    <w:name w:val="Список"/>
    <w:basedOn w:val="903"/>
    <w:next w:val="904"/>
    <w:link w:val="877"/>
    <w:rPr>
      <w:rFonts w:cs="Lohit Devanagari"/>
    </w:rPr>
  </w:style>
  <w:style w:type="paragraph" w:styleId="905">
    <w:name w:val="Название объекта"/>
    <w:basedOn w:val="877"/>
    <w:next w:val="905"/>
    <w:link w:val="877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906">
    <w:name w:val="Указатель1"/>
    <w:basedOn w:val="877"/>
    <w:next w:val="906"/>
    <w:link w:val="877"/>
    <w:pPr>
      <w:suppressLineNumbers/>
    </w:pPr>
    <w:rPr>
      <w:rFonts w:cs="Lohit Devanagari"/>
    </w:rPr>
  </w:style>
  <w:style w:type="paragraph" w:styleId="907">
    <w:name w:val="Текст сноски"/>
    <w:basedOn w:val="877"/>
    <w:next w:val="907"/>
    <w:link w:val="877"/>
    <w:uiPriority w:val="99"/>
    <w:pPr>
      <w:spacing w:before="0"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908">
    <w:name w:val="МР заголовок2"/>
    <w:basedOn w:val="877"/>
    <w:next w:val="877"/>
    <w:link w:val="877"/>
    <w:pPr>
      <w:numPr>
        <w:ilvl w:val="0"/>
        <w:numId w:val="2"/>
      </w:numPr>
      <w:contextualSpacing/>
      <w:ind w:left="788" w:right="0" w:hanging="431"/>
      <w:keepLines/>
      <w:keepNext/>
      <w:spacing w:before="120" w:after="120" w:line="240" w:lineRule="auto"/>
    </w:pPr>
    <w:rPr>
      <w:rFonts w:ascii="Times New Roman" w:hAnsi="Times New Roman" w:cs="Times New Roman"/>
      <w:b/>
      <w:sz w:val="28"/>
      <w:szCs w:val="28"/>
    </w:rPr>
  </w:style>
  <w:style w:type="paragraph" w:styleId="909">
    <w:name w:val="Нижний колонтитул"/>
    <w:basedOn w:val="877"/>
    <w:next w:val="909"/>
    <w:link w:val="877"/>
    <w:pPr>
      <w:tabs>
        <w:tab w:val="center" w:pos="4677" w:leader="none"/>
        <w:tab w:val="right" w:pos="9355" w:leader="none"/>
      </w:tabs>
    </w:pPr>
  </w:style>
  <w:style w:type="paragraph" w:styleId="910">
    <w:name w:val="Верхний колонтитул"/>
    <w:basedOn w:val="877"/>
    <w:next w:val="910"/>
    <w:link w:val="877"/>
    <w:pPr>
      <w:tabs>
        <w:tab w:val="center" w:pos="4677" w:leader="none"/>
        <w:tab w:val="right" w:pos="9355" w:leader="none"/>
      </w:tabs>
    </w:pPr>
  </w:style>
  <w:style w:type="character" w:styleId="911">
    <w:name w:val="Знак сноски"/>
    <w:next w:val="911"/>
    <w:link w:val="877"/>
    <w:uiPriority w:val="99"/>
    <w:rPr>
      <w:vertAlign w:val="superscript"/>
    </w:rPr>
  </w:style>
  <w:style w:type="paragraph" w:styleId="912">
    <w:name w:val="Default"/>
    <w:next w:val="912"/>
    <w:link w:val="877"/>
    <w:rPr>
      <w:color w:val="000000"/>
      <w:sz w:val="24"/>
      <w:szCs w:val="24"/>
      <w:lang w:val="ru-RU" w:eastAsia="ru-RU" w:bidi="ar-SA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для организатора вне аудитории пункта проведения экзаменов при проведении государственной итоговой аттестации по образовательным программам среднего общего образования на территории Вологодской области</dc:title>
  <dc:creator>akorotkova</dc:creator>
  <cp:revision>56</cp:revision>
  <dcterms:created xsi:type="dcterms:W3CDTF">2016-01-13T13:09:00Z</dcterms:created>
  <dcterms:modified xsi:type="dcterms:W3CDTF">2025-02-17T10:50:18Z</dcterms:modified>
  <cp:version>786432</cp:version>
</cp:coreProperties>
</file>