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7"/>
        <w:ind w:left="5812"/>
        <w:spacing w:after="0" w:line="240" w:lineRule="auto"/>
        <w:tabs>
          <w:tab w:val="left" w:pos="5400" w:leader="none"/>
        </w:tabs>
        <w:rPr>
          <w:rFonts w:ascii="Tinos" w:hAnsi="Tinos" w:cs="Tinos"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УТВЕРЖДЕНО</w:t>
      </w:r>
      <w:r>
        <w:rPr>
          <w:rFonts w:ascii="Tinos" w:hAnsi="Tinos" w:cs="Tinos"/>
          <w:bCs/>
          <w:sz w:val="28"/>
          <w:szCs w:val="28"/>
          <w:highlight w:val="none"/>
        </w:rPr>
      </w:r>
      <w:r>
        <w:rPr>
          <w:rFonts w:ascii="Tinos" w:hAnsi="Tinos" w:cs="Tinos"/>
          <w:bCs/>
          <w:sz w:val="28"/>
          <w:szCs w:val="28"/>
          <w:highlight w:val="none"/>
        </w:rPr>
      </w:r>
    </w:p>
    <w:p>
      <w:pPr>
        <w:pStyle w:val="857"/>
        <w:ind w:left="5812"/>
        <w:spacing w:after="0" w:line="240" w:lineRule="auto"/>
        <w:tabs>
          <w:tab w:val="left" w:pos="5400" w:leader="none"/>
        </w:tabs>
        <w:rPr>
          <w:rFonts w:ascii="Tinos" w:hAnsi="Tinos" w:cs="Tinos"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приказом Министерства</w:t>
      </w:r>
      <w:r>
        <w:rPr>
          <w:rFonts w:ascii="Tinos" w:hAnsi="Tinos" w:cs="Tinos"/>
          <w:bCs/>
          <w:sz w:val="28"/>
          <w:szCs w:val="28"/>
          <w:highlight w:val="none"/>
        </w:rPr>
      </w:r>
      <w:r>
        <w:rPr>
          <w:rFonts w:ascii="Tinos" w:hAnsi="Tinos" w:cs="Tinos"/>
          <w:bCs/>
          <w:sz w:val="28"/>
          <w:szCs w:val="28"/>
          <w:highlight w:val="none"/>
        </w:rPr>
      </w:r>
    </w:p>
    <w:p>
      <w:pPr>
        <w:pStyle w:val="857"/>
        <w:ind w:left="5812"/>
        <w:spacing w:after="0" w:line="240" w:lineRule="auto"/>
        <w:tabs>
          <w:tab w:val="left" w:pos="5400" w:leader="none"/>
        </w:tabs>
        <w:rPr>
          <w:rFonts w:ascii="Tinos" w:hAnsi="Tinos" w:cs="Tinos"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образования области </w:t>
      </w:r>
      <w:r>
        <w:rPr>
          <w:rFonts w:ascii="Tinos" w:hAnsi="Tinos" w:cs="Tinos"/>
          <w:bCs/>
          <w:sz w:val="28"/>
          <w:szCs w:val="28"/>
          <w:highlight w:val="none"/>
        </w:rPr>
      </w:r>
      <w:r>
        <w:rPr>
          <w:rFonts w:ascii="Tinos" w:hAnsi="Tinos" w:cs="Tinos"/>
          <w:bCs/>
          <w:sz w:val="28"/>
          <w:szCs w:val="28"/>
          <w:highlight w:val="none"/>
        </w:rPr>
      </w:r>
    </w:p>
    <w:p>
      <w:pPr>
        <w:pStyle w:val="857"/>
        <w:ind w:left="5812"/>
        <w:spacing w:after="0" w:line="240" w:lineRule="auto"/>
        <w:tabs>
          <w:tab w:val="left" w:pos="5400" w:leader="none"/>
        </w:tabs>
        <w:rPr>
          <w:rFonts w:ascii="Tinos" w:hAnsi="Tinos" w:cs="Tinos"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от __________ 2025 года № ____</w:t>
      </w:r>
      <w:r>
        <w:rPr>
          <w:rFonts w:ascii="Tinos" w:hAnsi="Tinos" w:cs="Tinos"/>
          <w:bCs/>
          <w:sz w:val="28"/>
          <w:szCs w:val="28"/>
          <w:highlight w:val="none"/>
        </w:rPr>
      </w:r>
      <w:r>
        <w:rPr>
          <w:rFonts w:ascii="Tinos" w:hAnsi="Tinos" w:cs="Tinos"/>
          <w:bCs/>
          <w:sz w:val="28"/>
          <w:szCs w:val="28"/>
          <w:highlight w:val="none"/>
        </w:rPr>
      </w:r>
    </w:p>
    <w:p>
      <w:pPr>
        <w:pStyle w:val="857"/>
        <w:contextualSpacing/>
        <w:ind w:left="5812"/>
        <w:spacing w:after="0" w:line="240" w:lineRule="auto"/>
        <w:tabs>
          <w:tab w:val="left" w:pos="0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(приложение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7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57"/>
        <w:spacing w:after="0" w:line="240" w:lineRule="auto"/>
        <w:rPr>
          <w:rFonts w:ascii="Tinos" w:hAnsi="Tinos" w:cs="Tinos"/>
          <w:bCs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bCs/>
          <w:color w:val="000000"/>
          <w:sz w:val="28"/>
          <w:szCs w:val="28"/>
          <w:highlight w:val="none"/>
          <w:lang w:eastAsia="ru-RU"/>
        </w:rPr>
      </w:r>
      <w:r>
        <w:rPr>
          <w:rFonts w:ascii="Tinos" w:hAnsi="Tinos" w:cs="Tinos"/>
          <w:bCs/>
          <w:color w:val="000000"/>
          <w:sz w:val="28"/>
          <w:szCs w:val="28"/>
          <w:highlight w:val="none"/>
        </w:rPr>
      </w:r>
      <w:r>
        <w:rPr>
          <w:rFonts w:ascii="Tinos" w:hAnsi="Tinos" w:cs="Tinos"/>
          <w:bCs/>
          <w:color w:val="000000"/>
          <w:sz w:val="28"/>
          <w:szCs w:val="28"/>
          <w:highlight w:val="none"/>
        </w:rPr>
      </w:r>
    </w:p>
    <w:p>
      <w:pPr>
        <w:pStyle w:val="857"/>
        <w:jc w:val="center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Инструкция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для работников по обес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печению охраны образовательных организаций при организации входа участников экзамена в пункт проведения экзаменов при проведении государственной итоговой аттестации по образовательным программам среднего общего образования на территории Вологодской области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57"/>
        <w:ind w:firstLine="709"/>
        <w:jc w:val="center"/>
        <w:spacing w:after="0" w:line="240" w:lineRule="auto"/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857"/>
        <w:numPr>
          <w:ilvl w:val="0"/>
          <w:numId w:val="6"/>
        </w:numPr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Общие положения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57"/>
        <w:ind w:firstLine="709"/>
        <w:jc w:val="both"/>
        <w:spacing w:after="0" w:line="240" w:lineRule="auto"/>
        <w:rPr>
          <w:rFonts w:ascii="Tinos" w:hAnsi="Tinos" w:cs="Tinos"/>
          <w:color w:val="000000"/>
          <w:sz w:val="20"/>
          <w:szCs w:val="20"/>
          <w:highlight w:val="cyan"/>
        </w:rPr>
      </w:pPr>
      <w:r>
        <w:rPr>
          <w:rFonts w:ascii="Tinos" w:hAnsi="Tinos" w:eastAsia="Tinos" w:cs="Tinos"/>
          <w:color w:val="000000"/>
          <w:sz w:val="20"/>
          <w:szCs w:val="20"/>
          <w:highlight w:val="cyan"/>
          <w:lang w:eastAsia="ru-RU"/>
        </w:rPr>
      </w:r>
      <w:r>
        <w:rPr>
          <w:rFonts w:ascii="Tinos" w:hAnsi="Tinos" w:cs="Tinos"/>
          <w:color w:val="000000"/>
          <w:sz w:val="20"/>
          <w:szCs w:val="20"/>
          <w:highlight w:val="cyan"/>
        </w:rPr>
      </w:r>
      <w:r>
        <w:rPr>
          <w:rFonts w:ascii="Tinos" w:hAnsi="Tinos" w:cs="Tinos"/>
          <w:color w:val="000000"/>
          <w:sz w:val="20"/>
          <w:szCs w:val="20"/>
          <w:highlight w:val="cyan"/>
        </w:rPr>
      </w:r>
    </w:p>
    <w:p>
      <w:pPr>
        <w:pStyle w:val="857"/>
        <w:numPr>
          <w:ilvl w:val="1"/>
          <w:numId w:val="6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Работник по обеспечению охраны образовательных организаций при организации входа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участников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экзамена в пункт проведения экзаменов при проведении государственной итоговой аттестации по образовательным программам среднего общего образования (далее соответственно – работник по обеспечению охраны, ППЭ)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– один из организаторов вне аудитории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,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назнач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енны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х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приказом Министерства образования Вологодской области по согласованию с государственной экзаменационной комиссией Вологодской области по проведению государственной итоговой аттестации по образовательным программам среднего общего образования (далее – ГЭК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), который дополнительно назначается приказом общеобразовательной организации для выполнения функций по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обеспечению охраны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в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57"/>
        <w:numPr>
          <w:ilvl w:val="1"/>
          <w:numId w:val="6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Работник по обеспечению охраны в своей деятельности руководствуется: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5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 Порядком проведения государственной итоговой аттеста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ции по образовательным программам среднего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от 4 апреля 2023 года № 233/552 (далее – Порядок проведения ГИА);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5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нормативными правовыми актами по организации ГИА в Вологодской области;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5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настоящей Инструкцией.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57"/>
        <w:numPr>
          <w:ilvl w:val="1"/>
          <w:numId w:val="6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Настоящая инструкция разработана в соответствии с приказом Министерства труда и социальной защиты от 11 декабря 2015 года № 1010н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br w:type="textWrapping" w:clear="all"/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«Об утверждении профессионального стандарта «Работник по обеспечению охраны образовательных организаций» (зарегистрирован в Минюсте России 31 декабря 2015 года, регистрационный № 40478) (далее – Приказ).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57"/>
        <w:numPr>
          <w:ilvl w:val="1"/>
          <w:numId w:val="6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В соответствии с Приказом к трудовым функциям работников по обеспечению охраны образовательных организаций относятся: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5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- подготовка мероприятий по безопасному проведению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экзаменов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5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- проверка технической готовности и использование технических средств обнаружения запрещенных к проносу предметов;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5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- участие в обеспечении пропускного режима в ходе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экзаменов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57"/>
        <w:numPr>
          <w:ilvl w:val="1"/>
          <w:numId w:val="6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Работник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и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по обеспечению охраны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должны пройти соответствующую подготовку, организуемую Министерством образования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бласти.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57"/>
        <w:numPr>
          <w:ilvl w:val="1"/>
          <w:numId w:val="6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 проведении экзамена не допускается привлекать в качестве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р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аботник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ов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по обеспечению охраны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близких родственников</w:t>
      </w:r>
      <w:r>
        <w:rPr>
          <w:rFonts w:ascii="Tinos" w:hAnsi="Tinos" w:eastAsia="Tinos" w:cs="Tinos"/>
          <w:highlight w:val="none"/>
          <w:vertAlign w:val="superscript"/>
          <w:lang w:eastAsia="ru-RU"/>
        </w:rPr>
        <w:footnoteReference w:id="2"/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, а также супругов, усынови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телей, усыновленных участников экзаменов, сдающих экзамен в данном ППЭ, а также педагогических работников, являющихся учителями участников ГИА, сдающих экзамен в данном ППЭ (за исключением ППЭ, организованных в учреждениях уголовно-исполнительной системы).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57"/>
        <w:numPr>
          <w:ilvl w:val="1"/>
          <w:numId w:val="6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 проведении экзамена по учебному предмету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аботник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ом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по обеспечению охраны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не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может быть назначен специалист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по этому учебному предмету.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57"/>
        <w:numPr>
          <w:ilvl w:val="1"/>
          <w:numId w:val="6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аботник по обеспечению охраны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информируется под по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дпись о сроках, местах и порядке проведения экзаменов, в том числе о ведении в ППЭ и аудиториях видеозаписи, об основаниях для удаления из ППЭ, о применении мер дисциплинарного и административного воздействия в отношении работников ППЭ, нарушивших Порядок.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57"/>
        <w:ind w:left="709"/>
        <w:jc w:val="both"/>
        <w:spacing w:after="0" w:line="240" w:lineRule="auto"/>
        <w:rPr>
          <w:rFonts w:ascii="Tinos" w:hAnsi="Tinos" w:cs="Tinos"/>
          <w:sz w:val="28"/>
          <w:szCs w:val="28"/>
          <w:highlight w:val="cyan"/>
        </w:rPr>
      </w:pPr>
      <w:r>
        <w:rPr>
          <w:rFonts w:ascii="Tinos" w:hAnsi="Tinos" w:eastAsia="Tinos" w:cs="Tinos"/>
          <w:sz w:val="28"/>
          <w:szCs w:val="28"/>
          <w:highlight w:val="cyan"/>
          <w:lang w:eastAsia="ru-RU"/>
        </w:rPr>
      </w:r>
      <w:r>
        <w:rPr>
          <w:rFonts w:ascii="Tinos" w:hAnsi="Tinos" w:cs="Tinos"/>
          <w:sz w:val="28"/>
          <w:szCs w:val="28"/>
          <w:highlight w:val="cyan"/>
        </w:rPr>
      </w:r>
      <w:r>
        <w:rPr>
          <w:rFonts w:ascii="Tinos" w:hAnsi="Tinos" w:cs="Tinos"/>
          <w:sz w:val="28"/>
          <w:szCs w:val="28"/>
          <w:highlight w:val="cyan"/>
        </w:rPr>
      </w:r>
    </w:p>
    <w:p>
      <w:pPr>
        <w:pStyle w:val="857"/>
        <w:numPr>
          <w:ilvl w:val="0"/>
          <w:numId w:val="6"/>
        </w:numPr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Проведение экзамена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57"/>
        <w:jc w:val="center"/>
        <w:spacing w:after="0" w:line="240" w:lineRule="auto"/>
        <w:rPr>
          <w:rFonts w:ascii="Tinos" w:hAnsi="Tinos" w:cs="Tinos"/>
          <w:color w:val="000000"/>
          <w:sz w:val="28"/>
          <w:szCs w:val="28"/>
          <w:highlight w:val="cyan"/>
        </w:rPr>
      </w:pPr>
      <w:r>
        <w:rPr>
          <w:rFonts w:ascii="Tinos" w:hAnsi="Tinos" w:eastAsia="Tinos" w:cs="Tinos"/>
          <w:color w:val="000000"/>
          <w:sz w:val="28"/>
          <w:szCs w:val="28"/>
          <w:highlight w:val="cyan"/>
          <w:lang w:eastAsia="ru-RU"/>
        </w:rPr>
      </w:r>
      <w:r>
        <w:rPr>
          <w:rFonts w:ascii="Tinos" w:hAnsi="Tinos" w:cs="Tinos"/>
          <w:color w:val="000000"/>
          <w:sz w:val="28"/>
          <w:szCs w:val="28"/>
          <w:highlight w:val="cyan"/>
        </w:rPr>
      </w:r>
      <w:r>
        <w:rPr>
          <w:rFonts w:ascii="Tinos" w:hAnsi="Tinos" w:cs="Tinos"/>
          <w:color w:val="000000"/>
          <w:sz w:val="28"/>
          <w:szCs w:val="28"/>
          <w:highlight w:val="cyan"/>
        </w:rPr>
      </w:r>
    </w:p>
    <w:p>
      <w:pPr>
        <w:pStyle w:val="857"/>
        <w:ind w:firstLine="709"/>
        <w:jc w:val="both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В рамках обеспечения организации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входа участников экзамена в ППЭ работник по обеспечению охраны должен: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57"/>
        <w:numPr>
          <w:ilvl w:val="1"/>
          <w:numId w:val="6"/>
        </w:numPr>
        <w:ind w:left="0" w:firstLine="709"/>
        <w:jc w:val="both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До входа в ППЭ (начиная с 9 часов 00 минут)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указать участникам экзамена на необходимость оставить личные вещи (уведомление о регистрации на ЕГЭ, средства связи и иные запрещенные средства и материалы и др.) в специально выделенном до входа в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 ППЭ месте для хранения личных вещей (указанное место для личных вещей участников экзамена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металлоискателя).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57"/>
        <w:numPr>
          <w:ilvl w:val="1"/>
          <w:numId w:val="6"/>
        </w:numPr>
        <w:ind w:left="0" w:firstLine="709"/>
        <w:jc w:val="both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 входе в ППЭ: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57"/>
        <w:ind w:firstLine="709"/>
        <w:jc w:val="both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а) проверить документы, удостоверяющие личность участников экзамена, и наличие их в списках распределения в данный ППЭ. 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57"/>
        <w:ind w:firstLine="709"/>
        <w:jc w:val="both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случае отсутствия по объективным причинам у участника ГИА документа, удостоверяющего личность, он допускается в ППЭ после письменного подтверждения его личности сопровождающим по форме ППЭ-20. 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57"/>
        <w:ind w:firstLine="709"/>
        <w:jc w:val="both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случае отсутствия по объективным причинам у участника ЕГЭ документа, удостоверяющего личность, он не допускается в ППЭ. В этом случае необходимо пригласить руководителя ППЭ и члена ГЭК.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57"/>
        <w:ind w:firstLine="709"/>
        <w:jc w:val="both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 отсутствии участника экзамена в списках распределения в данный ППЭ, участник экзамена в ППЭ не допускается, в этом случае необходимо пригласить члена ГЭК для фиксирования данного факта для дальнейшего принятия решения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б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)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 помощью стационарных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 (или) переносных металлоискателей проверить у участников экзамена наличие запрещенных средств: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средства связи, фото-, аудио- 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видеоаппаратура,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электронно-вычислительная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техника,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справочные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материалы,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письменные заметки и иные средства хранения и передачи информации (за исключением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средств обучения и воспитания, разрешенных к использованию для выполнения заданий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КИМ по соответствующим учебным предметам)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.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 предъявлении участником экзамена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документа о наличии соответствующих медицинских противопоказаний участник экзамена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освобождается от прохода через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стационарный и (или) переносной металлоискатель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. 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Важно! Не допускается досмотр участников экзаменов.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</w:p>
    <w:p>
      <w:pPr>
        <w:pStyle w:val="857"/>
        <w:ind w:firstLine="709"/>
        <w:jc w:val="both"/>
        <w:spacing w:after="0" w:line="240" w:lineRule="auto"/>
        <w:rPr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Сотрудники, осуществляющие охрану правопорядка, и организаторы вне аудитории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не прикасаются к участникам экзаменов и их вещам, а предлагают добровольно сдать</w:t>
      </w:r>
      <w:r>
        <w:rPr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предмет, вызывающий сигнал металлоискателя, в помещение (место) для хранения личных</w:t>
      </w:r>
      <w:r>
        <w:rPr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вещей участников экзаменов или сопровождающему.</w:t>
      </w:r>
      <w:r>
        <w:rPr>
          <w:highlight w:val="none"/>
        </w:rPr>
      </w:r>
      <w:r>
        <w:rPr>
          <w:highlight w:val="none"/>
        </w:rPr>
      </w:r>
    </w:p>
    <w:p>
      <w:pPr>
        <w:pStyle w:val="857"/>
        <w:ind w:firstLine="709"/>
        <w:jc w:val="both"/>
        <w:spacing w:after="0" w:line="240" w:lineRule="auto"/>
        <w:rPr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3) При проходе участника экзамена через рамку и срабатывании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металлоискателя следует:</w:t>
      </w:r>
      <w:r>
        <w:rPr>
          <w:highlight w:val="none"/>
        </w:rPr>
      </w:r>
      <w:r>
        <w:rPr>
          <w:highlight w:val="none"/>
        </w:rPr>
      </w:r>
    </w:p>
    <w:p>
      <w:pPr>
        <w:pStyle w:val="857"/>
        <w:ind w:firstLine="709"/>
        <w:jc w:val="both"/>
        <w:spacing w:after="0" w:line="240" w:lineRule="auto"/>
        <w:rPr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а)</w:t>
      </w:r>
      <w:r>
        <w:rPr>
          <w:rFonts w:ascii="Tinos" w:hAnsi="Tinos" w:cs="Tinos"/>
          <w:sz w:val="28"/>
          <w:szCs w:val="28"/>
          <w:highlight w:val="none"/>
        </w:rPr>
        <w:t xml:space="preserve"> озвучить</w:t>
      </w:r>
      <w:r>
        <w:rPr>
          <w:rFonts w:ascii="Tinos" w:hAnsi="Tinos" w:cs="Tinos"/>
          <w:sz w:val="28"/>
          <w:szCs w:val="28"/>
          <w:highlight w:val="none"/>
        </w:rPr>
        <w:t xml:space="preserve"> участнику</w:t>
      </w:r>
      <w:r>
        <w:rPr>
          <w:rFonts w:ascii="Tinos" w:hAnsi="Tinos" w:cs="Tinos"/>
          <w:sz w:val="28"/>
          <w:szCs w:val="28"/>
          <w:highlight w:val="none"/>
        </w:rPr>
        <w:t xml:space="preserve"> экзамена</w:t>
      </w:r>
      <w:r>
        <w:rPr>
          <w:rFonts w:ascii="Tinos" w:hAnsi="Tinos" w:cs="Tinos"/>
          <w:sz w:val="28"/>
          <w:szCs w:val="28"/>
          <w:highlight w:val="none"/>
        </w:rPr>
        <w:t xml:space="preserve"> зону</w:t>
      </w:r>
      <w:r>
        <w:rPr>
          <w:rFonts w:ascii="Tinos" w:hAnsi="Tinos" w:cs="Tinos"/>
          <w:sz w:val="28"/>
          <w:szCs w:val="28"/>
          <w:highlight w:val="none"/>
        </w:rPr>
        <w:t xml:space="preserve"> срабатывания,</w:t>
      </w:r>
      <w:r>
        <w:rPr>
          <w:rFonts w:ascii="Tinos" w:hAnsi="Tinos" w:cs="Tinos"/>
          <w:sz w:val="28"/>
          <w:szCs w:val="28"/>
          <w:highlight w:val="none"/>
        </w:rPr>
        <w:t xml:space="preserve"> указанную</w:t>
      </w:r>
      <w:r>
        <w:rPr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на металлоискателе;</w:t>
      </w:r>
      <w:r>
        <w:rPr>
          <w:highlight w:val="none"/>
        </w:rPr>
      </w:r>
      <w:r>
        <w:rPr>
          <w:highlight w:val="none"/>
        </w:rPr>
      </w:r>
    </w:p>
    <w:p>
      <w:pPr>
        <w:pStyle w:val="857"/>
        <w:ind w:firstLine="709"/>
        <w:jc w:val="both"/>
        <w:spacing w:after="0" w:line="240" w:lineRule="auto"/>
        <w:rPr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б)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в целях исключения задержки прохода других участников экзаменов в ППЭ –</w:t>
      </w:r>
      <w:r>
        <w:rPr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провести участника экзамена в сторону от общего потока входящих в ППЭ;</w:t>
      </w:r>
      <w:r>
        <w:rPr>
          <w:highlight w:val="none"/>
        </w:rPr>
      </w:r>
      <w:r>
        <w:rPr>
          <w:highlight w:val="none"/>
        </w:rPr>
      </w:r>
    </w:p>
    <w:p>
      <w:pPr>
        <w:pStyle w:val="857"/>
        <w:ind w:firstLine="709"/>
        <w:jc w:val="both"/>
        <w:spacing w:after="0" w:line="240" w:lineRule="auto"/>
        <w:rPr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в)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разъяснить участнику экзамена:</w:t>
      </w:r>
      <w:r>
        <w:rPr>
          <w:highlight w:val="none"/>
        </w:rPr>
      </w:r>
      <w:r>
        <w:rPr>
          <w:highlight w:val="none"/>
        </w:rPr>
      </w:r>
    </w:p>
    <w:p>
      <w:pPr>
        <w:pStyle w:val="857"/>
        <w:ind w:firstLine="709"/>
        <w:jc w:val="both"/>
        <w:spacing w:after="0" w:line="240" w:lineRule="auto"/>
        <w:rPr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«В соответствии с пунктом 72 Порядка в день проведения экзамена в ППЭ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участникам экзаменов запрещается иметь при себе средства связи, фото-, аудио- и</w:t>
      </w:r>
      <w:r>
        <w:rPr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видеоаппаратуру, электронно-вычислительную технику, справочные материалы,</w:t>
      </w:r>
      <w:r>
        <w:rPr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письменные заметки и иные средства хранения и передачи информации.</w:t>
      </w:r>
      <w:r>
        <w:rPr>
          <w:highlight w:val="none"/>
        </w:rPr>
      </w:r>
      <w:r>
        <w:rPr>
          <w:highlight w:val="none"/>
        </w:rPr>
      </w:r>
    </w:p>
    <w:p>
      <w:pPr>
        <w:pStyle w:val="857"/>
        <w:ind w:firstLine="709"/>
        <w:jc w:val="both"/>
        <w:spacing w:after="0" w:line="240" w:lineRule="auto"/>
        <w:rPr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При обнаружении указанных запрещенных предметов после входа в ППЭ, а также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во время проведения экзамена Вы будете удалены с экзамена без права пересдачи экзамена</w:t>
      </w:r>
      <w:r>
        <w:rPr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в резервные сроки»;</w:t>
      </w:r>
      <w:r>
        <w:rPr>
          <w:highlight w:val="none"/>
        </w:rPr>
      </w:r>
      <w:r>
        <w:rPr>
          <w:highlight w:val="none"/>
        </w:rPr>
      </w:r>
    </w:p>
    <w:p>
      <w:pPr>
        <w:pStyle w:val="857"/>
        <w:ind w:firstLine="709"/>
        <w:jc w:val="both"/>
        <w:spacing w:after="0" w:line="240" w:lineRule="auto"/>
        <w:rPr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г)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 ручным металлоискателем указать точечно в какой зоне сохраняется сигнал</w:t>
      </w:r>
      <w:r>
        <w:rPr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металлоискателя;</w:t>
      </w:r>
      <w:r>
        <w:rPr>
          <w:highlight w:val="none"/>
        </w:rPr>
      </w:r>
      <w:r>
        <w:rPr>
          <w:highlight w:val="none"/>
        </w:rPr>
      </w:r>
    </w:p>
    <w:p>
      <w:pPr>
        <w:pStyle w:val="857"/>
        <w:ind w:firstLine="709"/>
        <w:jc w:val="both"/>
        <w:spacing w:after="0" w:line="240" w:lineRule="auto"/>
        <w:rPr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д)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 попросить участника экзамена пройти в помещение (место) для хранения</w:t>
      </w:r>
      <w:r>
        <w:rPr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личных вещей и оставить запрещенный предмет в месте для хранения личных вещей или</w:t>
      </w:r>
      <w:r>
        <w:rPr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передать его сопровождающему.</w:t>
      </w:r>
      <w:r>
        <w:rPr>
          <w:highlight w:val="none"/>
        </w:rPr>
      </w:r>
      <w:r>
        <w:rPr>
          <w:highlight w:val="none"/>
        </w:rPr>
      </w:r>
    </w:p>
    <w:p>
      <w:pPr>
        <w:pStyle w:val="857"/>
        <w:ind w:firstLine="709"/>
        <w:jc w:val="both"/>
        <w:spacing w:after="0" w:line="240" w:lineRule="auto"/>
        <w:rPr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Если участник экзамена отказывается сдать запрещенный предмет с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помощью организатора вне аудитории следует пригласить руководителя ППЭ и</w:t>
      </w:r>
      <w:r>
        <w:rPr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члена ГЭК для составления акта о недопуске участника экзамена в ППЭ. Повторно</w:t>
      </w:r>
      <w:r>
        <w:rPr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к участию в ЕГЭ по данному учебному предмет</w:t>
      </w:r>
      <w:r>
        <w:rPr>
          <w:rFonts w:ascii="Tinos" w:hAnsi="Tinos" w:cs="Tinos"/>
          <w:sz w:val="28"/>
          <w:szCs w:val="28"/>
          <w:highlight w:val="none"/>
        </w:rPr>
        <w:t xml:space="preserve">у в резервные сроки указанный участник</w:t>
      </w:r>
      <w:r>
        <w:rPr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экзамена м</w:t>
      </w:r>
      <w:r>
        <w:rPr>
          <w:rFonts w:ascii="Tinos" w:hAnsi="Tinos" w:cs="Tinos"/>
          <w:sz w:val="28"/>
          <w:szCs w:val="28"/>
          <w:highlight w:val="none"/>
        </w:rPr>
        <w:t xml:space="preserve">ожет быть допущен только по решению председателя ГЭК.</w:t>
      </w:r>
      <w:r>
        <w:rPr>
          <w:highlight w:val="none"/>
        </w:rPr>
      </w:r>
      <w:r>
        <w:rPr>
          <w:highlight w:val="none"/>
        </w:rPr>
      </w:r>
    </w:p>
    <w:p>
      <w:pPr>
        <w:pStyle w:val="857"/>
        <w:numPr>
          <w:ilvl w:val="1"/>
          <w:numId w:val="6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На этапе проведения и завершения ЕГЭ должен контролировать выход из ППЭ участников экзамена, завершивших экзамен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1134" w:right="567" w:bottom="1134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Noto Sans CJK SC">
    <w:panose1 w:val="020B0502040504020204"/>
  </w:font>
  <w:font w:name="Lohit Devanagari">
    <w:panose1 w:val="02000603000000000000"/>
  </w:font>
  <w:font w:name="Liberation Sans">
    <w:panose1 w:val="020B0604020202020204"/>
  </w:font>
  <w:font w:name="Cambria">
    <w:panose1 w:val="0204050305040603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883"/>
        <w:rPr>
          <w:rFonts w:ascii="Tinos" w:hAnsi="Tinos" w:cs="Tinos"/>
          <w:sz w:val="20"/>
          <w:szCs w:val="20"/>
        </w:rPr>
      </w:pPr>
      <w:r>
        <w:rPr>
          <w:rStyle w:val="886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Статья 14 Семейного кодекса Российской Федерации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60"/>
      <w:isLgl w:val="false"/>
      <w:suff w:val="tab"/>
      <w:lvlText w:val="%3"/>
      <w:lvlJc w:val="left"/>
      <w:pPr>
        <w:ind w:left="414" w:hanging="720"/>
        <w:tabs>
          <w:tab w:val="num" w:pos="0" w:leader="none"/>
        </w:tabs>
      </w:pPr>
      <w:rPr>
        <w:rFonts w:cs="Times New Roman"/>
      </w:rPr>
    </w:lvl>
    <w:lvl w:ilvl="3">
      <w:start w:val="1"/>
      <w:numFmt w:val="decimal"/>
      <w:pStyle w:val="861"/>
      <w:isLgl w:val="false"/>
      <w:suff w:val="tab"/>
      <w:lvlText w:val="%3.%4"/>
      <w:lvlJc w:val="left"/>
      <w:pPr>
        <w:ind w:left="270" w:hanging="864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pStyle w:val="862"/>
      <w:isLgl w:val="false"/>
      <w:suff w:val="tab"/>
      <w:lvlText w:val="%3.%4.%5"/>
      <w:lvlJc w:val="left"/>
      <w:pPr>
        <w:ind w:left="126" w:hanging="1008"/>
        <w:tabs>
          <w:tab w:val="num" w:pos="0" w:leader="none"/>
        </w:tabs>
      </w:pPr>
      <w:rPr>
        <w:rFonts w:cs="Times New Roman"/>
      </w:rPr>
    </w:lvl>
    <w:lvl w:ilvl="5">
      <w:start w:val="1"/>
      <w:numFmt w:val="decimal"/>
      <w:pStyle w:val="863"/>
      <w:isLgl w:val="false"/>
      <w:suff w:val="tab"/>
      <w:lvlText w:val="%3.%4.%5.%6"/>
      <w:lvlJc w:val="left"/>
      <w:pPr>
        <w:ind w:left="18" w:hanging="1152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pStyle w:val="864"/>
      <w:isLgl w:val="false"/>
      <w:suff w:val="tab"/>
      <w:lvlText w:val="%3.%4.%5.%6.%7"/>
      <w:lvlJc w:val="left"/>
      <w:pPr>
        <w:ind w:left="162" w:hanging="1296"/>
        <w:tabs>
          <w:tab w:val="num" w:pos="0" w:leader="none"/>
        </w:tabs>
      </w:pPr>
      <w:rPr>
        <w:rFonts w:cs="Times New Roman"/>
      </w:rPr>
    </w:lvl>
    <w:lvl w:ilvl="7">
      <w:start w:val="1"/>
      <w:numFmt w:val="decimal"/>
      <w:pStyle w:val="865"/>
      <w:isLgl w:val="false"/>
      <w:suff w:val="tab"/>
      <w:lvlText w:val="%3.%4.%5.%6.%7.%8"/>
      <w:lvlJc w:val="left"/>
      <w:pPr>
        <w:ind w:left="306" w:hanging="1440"/>
        <w:tabs>
          <w:tab w:val="num" w:pos="0" w:leader="none"/>
        </w:tabs>
      </w:pPr>
      <w:rPr>
        <w:rFonts w:cs="Times New Roman"/>
      </w:rPr>
    </w:lvl>
    <w:lvl w:ilvl="8">
      <w:start w:val="1"/>
      <w:numFmt w:val="decimal"/>
      <w:pStyle w:val="866"/>
      <w:isLgl w:val="false"/>
      <w:suff w:val="tab"/>
      <w:lvlText w:val="%3.%4.%5.%6.%7.%8.%9"/>
      <w:lvlJc w:val="left"/>
      <w:pPr>
        <w:ind w:left="450" w:hanging="1584"/>
        <w:tabs>
          <w:tab w:val="num" w:pos="0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color w:val="000000"/>
      </w:rPr>
    </w:lvl>
    <w:lvl w:ilvl="1">
      <w:start w:val="1"/>
      <w:numFmt w:val="decimal"/>
      <w:isLgl w:val="false"/>
      <w:suff w:val="tab"/>
      <w:lvlText w:val="%1.%2."/>
      <w:lvlJc w:val="left"/>
      <w:pPr>
        <w:ind w:left="1800" w:hanging="720"/>
      </w:pPr>
      <w:rPr>
        <w:rFonts w:ascii="Times New Roman" w:hAnsi="Times New Roman" w:cs="Times New Roman"/>
        <w:color w:val="000000"/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80" w:hanging="720"/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320" w:hanging="1080"/>
      </w:pPr>
      <w:rPr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400" w:hanging="1080"/>
      </w:pPr>
      <w:rPr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840" w:hanging="1440"/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80" w:hanging="1800"/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360" w:hanging="1800"/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0" w:hanging="2160"/>
      </w:pPr>
      <w:rPr>
        <w:color w:val="00000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isLgl w:val="false"/>
      <w:suff w:val="tab"/>
      <w:lvlText w:val="%1.%2."/>
      <w:lvlJc w:val="left"/>
      <w:pPr>
        <w:ind w:left="1170" w:hanging="450"/>
      </w:pPr>
      <w:rPr>
        <w:rFonts w:ascii="Times New Roman" w:hAnsi="Times New Roman" w:cs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</w:pPr>
      <w:rPr>
        <w:rFonts w:ascii="Times New Roman" w:hAnsi="Times New Roman" w:cs="Times New Roman"/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160" w:hanging="720"/>
      </w:pPr>
      <w:rPr>
        <w:rFonts w:ascii="Times New Roman" w:hAnsi="Times New Roman" w:cs="Times New Roman"/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</w:pPr>
      <w:rPr>
        <w:rFonts w:ascii="Times New Roman" w:hAnsi="Times New Roman" w:cs="Times New Roman"/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080"/>
      </w:pPr>
      <w:rPr>
        <w:rFonts w:ascii="Times New Roman" w:hAnsi="Times New Roman" w:cs="Times New Roman"/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</w:pPr>
      <w:rPr>
        <w:rFonts w:ascii="Times New Roman" w:hAnsi="Times New Roman" w:cs="Times New Roman"/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440"/>
      </w:pPr>
      <w:rPr>
        <w:rFonts w:ascii="Times New Roman" w:hAnsi="Times New Roman" w:cs="Times New Roman"/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</w:pPr>
      <w:rPr>
        <w:rFonts w:ascii="Times New Roman" w:hAnsi="Times New Roman" w:cs="Times New Roman"/>
        <w:sz w:val="28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9">
    <w:name w:val="Heading 1"/>
    <w:basedOn w:val="857"/>
    <w:next w:val="857"/>
    <w:link w:val="68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0">
    <w:name w:val="Heading 1 Char"/>
    <w:link w:val="679"/>
    <w:uiPriority w:val="9"/>
    <w:rPr>
      <w:rFonts w:ascii="Arial" w:hAnsi="Arial" w:eastAsia="Arial" w:cs="Arial"/>
      <w:sz w:val="40"/>
      <w:szCs w:val="40"/>
    </w:rPr>
  </w:style>
  <w:style w:type="paragraph" w:styleId="681">
    <w:name w:val="Heading 2"/>
    <w:basedOn w:val="857"/>
    <w:next w:val="857"/>
    <w:link w:val="68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2">
    <w:name w:val="Heading 2 Char"/>
    <w:link w:val="681"/>
    <w:uiPriority w:val="9"/>
    <w:rPr>
      <w:rFonts w:ascii="Arial" w:hAnsi="Arial" w:eastAsia="Arial" w:cs="Arial"/>
      <w:sz w:val="34"/>
    </w:rPr>
  </w:style>
  <w:style w:type="paragraph" w:styleId="683">
    <w:name w:val="Heading 3"/>
    <w:basedOn w:val="857"/>
    <w:next w:val="857"/>
    <w:link w:val="6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4">
    <w:name w:val="Heading 3 Char"/>
    <w:link w:val="683"/>
    <w:uiPriority w:val="9"/>
    <w:rPr>
      <w:rFonts w:ascii="Arial" w:hAnsi="Arial" w:eastAsia="Arial" w:cs="Arial"/>
      <w:sz w:val="30"/>
      <w:szCs w:val="30"/>
    </w:rPr>
  </w:style>
  <w:style w:type="paragraph" w:styleId="685">
    <w:name w:val="Heading 4"/>
    <w:basedOn w:val="857"/>
    <w:next w:val="857"/>
    <w:link w:val="6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6">
    <w:name w:val="Heading 4 Char"/>
    <w:link w:val="685"/>
    <w:uiPriority w:val="9"/>
    <w:rPr>
      <w:rFonts w:ascii="Arial" w:hAnsi="Arial" w:eastAsia="Arial" w:cs="Arial"/>
      <w:b/>
      <w:bCs/>
      <w:sz w:val="26"/>
      <w:szCs w:val="26"/>
    </w:rPr>
  </w:style>
  <w:style w:type="paragraph" w:styleId="687">
    <w:name w:val="Heading 5"/>
    <w:basedOn w:val="857"/>
    <w:next w:val="857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8">
    <w:name w:val="Heading 5 Char"/>
    <w:link w:val="687"/>
    <w:uiPriority w:val="9"/>
    <w:rPr>
      <w:rFonts w:ascii="Arial" w:hAnsi="Arial" w:eastAsia="Arial" w:cs="Arial"/>
      <w:b/>
      <w:bCs/>
      <w:sz w:val="24"/>
      <w:szCs w:val="24"/>
    </w:rPr>
  </w:style>
  <w:style w:type="paragraph" w:styleId="689">
    <w:name w:val="Heading 6"/>
    <w:basedOn w:val="857"/>
    <w:next w:val="857"/>
    <w:link w:val="69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0">
    <w:name w:val="Heading 6 Char"/>
    <w:link w:val="689"/>
    <w:uiPriority w:val="9"/>
    <w:rPr>
      <w:rFonts w:ascii="Arial" w:hAnsi="Arial" w:eastAsia="Arial" w:cs="Arial"/>
      <w:b/>
      <w:bCs/>
      <w:sz w:val="22"/>
      <w:szCs w:val="22"/>
    </w:rPr>
  </w:style>
  <w:style w:type="paragraph" w:styleId="691">
    <w:name w:val="Heading 7"/>
    <w:basedOn w:val="857"/>
    <w:next w:val="857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2">
    <w:name w:val="Heading 7 Char"/>
    <w:link w:val="6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3">
    <w:name w:val="Heading 8"/>
    <w:basedOn w:val="857"/>
    <w:next w:val="857"/>
    <w:link w:val="69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4">
    <w:name w:val="Heading 8 Char"/>
    <w:link w:val="693"/>
    <w:uiPriority w:val="9"/>
    <w:rPr>
      <w:rFonts w:ascii="Arial" w:hAnsi="Arial" w:eastAsia="Arial" w:cs="Arial"/>
      <w:i/>
      <w:iCs/>
      <w:sz w:val="22"/>
      <w:szCs w:val="22"/>
    </w:rPr>
  </w:style>
  <w:style w:type="paragraph" w:styleId="695">
    <w:name w:val="Heading 9"/>
    <w:basedOn w:val="857"/>
    <w:next w:val="857"/>
    <w:link w:val="6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6">
    <w:name w:val="Heading 9 Char"/>
    <w:link w:val="695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List Paragraph"/>
    <w:basedOn w:val="857"/>
    <w:uiPriority w:val="34"/>
    <w:qFormat/>
    <w:pPr>
      <w:contextualSpacing/>
      <w:ind w:left="720"/>
    </w:pPr>
  </w:style>
  <w:style w:type="paragraph" w:styleId="698">
    <w:name w:val="No Spacing"/>
    <w:uiPriority w:val="1"/>
    <w:qFormat/>
    <w:pPr>
      <w:spacing w:before="0" w:after="0" w:line="240" w:lineRule="auto"/>
    </w:pPr>
  </w:style>
  <w:style w:type="paragraph" w:styleId="699">
    <w:name w:val="Title"/>
    <w:basedOn w:val="857"/>
    <w:next w:val="857"/>
    <w:link w:val="70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0">
    <w:name w:val="Title Char"/>
    <w:link w:val="699"/>
    <w:uiPriority w:val="10"/>
    <w:rPr>
      <w:sz w:val="48"/>
      <w:szCs w:val="48"/>
    </w:rPr>
  </w:style>
  <w:style w:type="paragraph" w:styleId="701">
    <w:name w:val="Subtitle"/>
    <w:basedOn w:val="857"/>
    <w:next w:val="857"/>
    <w:link w:val="702"/>
    <w:uiPriority w:val="11"/>
    <w:qFormat/>
    <w:pPr>
      <w:spacing w:before="200" w:after="200"/>
    </w:pPr>
    <w:rPr>
      <w:sz w:val="24"/>
      <w:szCs w:val="24"/>
    </w:rPr>
  </w:style>
  <w:style w:type="character" w:styleId="702">
    <w:name w:val="Subtitle Char"/>
    <w:link w:val="701"/>
    <w:uiPriority w:val="11"/>
    <w:rPr>
      <w:sz w:val="24"/>
      <w:szCs w:val="24"/>
    </w:rPr>
  </w:style>
  <w:style w:type="paragraph" w:styleId="703">
    <w:name w:val="Quote"/>
    <w:basedOn w:val="857"/>
    <w:next w:val="857"/>
    <w:link w:val="704"/>
    <w:uiPriority w:val="29"/>
    <w:qFormat/>
    <w:pPr>
      <w:ind w:left="720" w:right="720"/>
    </w:pPr>
    <w:rPr>
      <w:i/>
    </w:rPr>
  </w:style>
  <w:style w:type="character" w:styleId="704">
    <w:name w:val="Quote Char"/>
    <w:link w:val="703"/>
    <w:uiPriority w:val="29"/>
    <w:rPr>
      <w:i/>
    </w:rPr>
  </w:style>
  <w:style w:type="paragraph" w:styleId="705">
    <w:name w:val="Intense Quote"/>
    <w:basedOn w:val="857"/>
    <w:next w:val="857"/>
    <w:link w:val="70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6">
    <w:name w:val="Intense Quote Char"/>
    <w:link w:val="705"/>
    <w:uiPriority w:val="30"/>
    <w:rPr>
      <w:i/>
    </w:rPr>
  </w:style>
  <w:style w:type="paragraph" w:styleId="707">
    <w:name w:val="Header"/>
    <w:basedOn w:val="857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8">
    <w:name w:val="Header Char"/>
    <w:link w:val="707"/>
    <w:uiPriority w:val="99"/>
  </w:style>
  <w:style w:type="paragraph" w:styleId="709">
    <w:name w:val="Footer"/>
    <w:basedOn w:val="857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0">
    <w:name w:val="Footer Char"/>
    <w:link w:val="709"/>
    <w:uiPriority w:val="99"/>
  </w:style>
  <w:style w:type="paragraph" w:styleId="711">
    <w:name w:val="Caption"/>
    <w:basedOn w:val="857"/>
    <w:next w:val="85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2">
    <w:name w:val="Caption Char"/>
    <w:basedOn w:val="711"/>
    <w:link w:val="709"/>
    <w:uiPriority w:val="99"/>
  </w:style>
  <w:style w:type="table" w:styleId="71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9">
    <w:name w:val="Hyperlink"/>
    <w:uiPriority w:val="99"/>
    <w:unhideWhenUsed/>
    <w:rPr>
      <w:color w:val="0000ff" w:themeColor="hyperlink"/>
      <w:u w:val="single"/>
    </w:rPr>
  </w:style>
  <w:style w:type="paragraph" w:styleId="840">
    <w:name w:val="footnote text"/>
    <w:basedOn w:val="857"/>
    <w:link w:val="841"/>
    <w:uiPriority w:val="99"/>
    <w:semiHidden/>
    <w:unhideWhenUsed/>
    <w:pPr>
      <w:spacing w:after="40" w:line="240" w:lineRule="auto"/>
    </w:pPr>
    <w:rPr>
      <w:sz w:val="18"/>
    </w:rPr>
  </w:style>
  <w:style w:type="character" w:styleId="841">
    <w:name w:val="Footnote Text Char"/>
    <w:link w:val="840"/>
    <w:uiPriority w:val="99"/>
    <w:rPr>
      <w:sz w:val="18"/>
    </w:rPr>
  </w:style>
  <w:style w:type="character" w:styleId="842">
    <w:name w:val="footnote reference"/>
    <w:uiPriority w:val="99"/>
    <w:unhideWhenUsed/>
    <w:rPr>
      <w:vertAlign w:val="superscript"/>
    </w:rPr>
  </w:style>
  <w:style w:type="paragraph" w:styleId="843">
    <w:name w:val="endnote text"/>
    <w:basedOn w:val="857"/>
    <w:link w:val="844"/>
    <w:uiPriority w:val="99"/>
    <w:semiHidden/>
    <w:unhideWhenUsed/>
    <w:pPr>
      <w:spacing w:after="0" w:line="240" w:lineRule="auto"/>
    </w:pPr>
    <w:rPr>
      <w:sz w:val="20"/>
    </w:rPr>
  </w:style>
  <w:style w:type="character" w:styleId="844">
    <w:name w:val="Endnote Text Char"/>
    <w:link w:val="843"/>
    <w:uiPriority w:val="99"/>
    <w:rPr>
      <w:sz w:val="20"/>
    </w:rPr>
  </w:style>
  <w:style w:type="character" w:styleId="845">
    <w:name w:val="endnote reference"/>
    <w:uiPriority w:val="99"/>
    <w:semiHidden/>
    <w:unhideWhenUsed/>
    <w:rPr>
      <w:vertAlign w:val="superscript"/>
    </w:rPr>
  </w:style>
  <w:style w:type="paragraph" w:styleId="846">
    <w:name w:val="toc 1"/>
    <w:basedOn w:val="857"/>
    <w:next w:val="857"/>
    <w:uiPriority w:val="39"/>
    <w:unhideWhenUsed/>
    <w:pPr>
      <w:ind w:left="0" w:right="0" w:firstLine="0"/>
      <w:spacing w:after="57"/>
    </w:pPr>
  </w:style>
  <w:style w:type="paragraph" w:styleId="847">
    <w:name w:val="toc 2"/>
    <w:basedOn w:val="857"/>
    <w:next w:val="857"/>
    <w:uiPriority w:val="39"/>
    <w:unhideWhenUsed/>
    <w:pPr>
      <w:ind w:left="283" w:right="0" w:firstLine="0"/>
      <w:spacing w:after="57"/>
    </w:pPr>
  </w:style>
  <w:style w:type="paragraph" w:styleId="848">
    <w:name w:val="toc 3"/>
    <w:basedOn w:val="857"/>
    <w:next w:val="857"/>
    <w:uiPriority w:val="39"/>
    <w:unhideWhenUsed/>
    <w:pPr>
      <w:ind w:left="567" w:right="0" w:firstLine="0"/>
      <w:spacing w:after="57"/>
    </w:pPr>
  </w:style>
  <w:style w:type="paragraph" w:styleId="849">
    <w:name w:val="toc 4"/>
    <w:basedOn w:val="857"/>
    <w:next w:val="857"/>
    <w:uiPriority w:val="39"/>
    <w:unhideWhenUsed/>
    <w:pPr>
      <w:ind w:left="850" w:right="0" w:firstLine="0"/>
      <w:spacing w:after="57"/>
    </w:pPr>
  </w:style>
  <w:style w:type="paragraph" w:styleId="850">
    <w:name w:val="toc 5"/>
    <w:basedOn w:val="857"/>
    <w:next w:val="857"/>
    <w:uiPriority w:val="39"/>
    <w:unhideWhenUsed/>
    <w:pPr>
      <w:ind w:left="1134" w:right="0" w:firstLine="0"/>
      <w:spacing w:after="57"/>
    </w:pPr>
  </w:style>
  <w:style w:type="paragraph" w:styleId="851">
    <w:name w:val="toc 6"/>
    <w:basedOn w:val="857"/>
    <w:next w:val="857"/>
    <w:uiPriority w:val="39"/>
    <w:unhideWhenUsed/>
    <w:pPr>
      <w:ind w:left="1417" w:right="0" w:firstLine="0"/>
      <w:spacing w:after="57"/>
    </w:pPr>
  </w:style>
  <w:style w:type="paragraph" w:styleId="852">
    <w:name w:val="toc 7"/>
    <w:basedOn w:val="857"/>
    <w:next w:val="857"/>
    <w:uiPriority w:val="39"/>
    <w:unhideWhenUsed/>
    <w:pPr>
      <w:ind w:left="1701" w:right="0" w:firstLine="0"/>
      <w:spacing w:after="57"/>
    </w:pPr>
  </w:style>
  <w:style w:type="paragraph" w:styleId="853">
    <w:name w:val="toc 8"/>
    <w:basedOn w:val="857"/>
    <w:next w:val="857"/>
    <w:uiPriority w:val="39"/>
    <w:unhideWhenUsed/>
    <w:pPr>
      <w:ind w:left="1984" w:right="0" w:firstLine="0"/>
      <w:spacing w:after="57"/>
    </w:pPr>
  </w:style>
  <w:style w:type="paragraph" w:styleId="854">
    <w:name w:val="toc 9"/>
    <w:basedOn w:val="857"/>
    <w:next w:val="857"/>
    <w:uiPriority w:val="39"/>
    <w:unhideWhenUsed/>
    <w:pPr>
      <w:ind w:left="2268" w:right="0" w:firstLine="0"/>
      <w:spacing w:after="57"/>
    </w:pPr>
  </w:style>
  <w:style w:type="paragraph" w:styleId="855">
    <w:name w:val="TOC Heading"/>
    <w:uiPriority w:val="39"/>
    <w:unhideWhenUsed/>
  </w:style>
  <w:style w:type="paragraph" w:styleId="856">
    <w:name w:val="table of figures"/>
    <w:basedOn w:val="857"/>
    <w:next w:val="857"/>
    <w:uiPriority w:val="99"/>
    <w:unhideWhenUsed/>
    <w:pPr>
      <w:spacing w:after="0" w:afterAutospacing="0"/>
    </w:pPr>
  </w:style>
  <w:style w:type="paragraph" w:styleId="857" w:default="1">
    <w:name w:val="Normal"/>
    <w:next w:val="857"/>
    <w:link w:val="857"/>
    <w:qFormat/>
    <w:pPr>
      <w:spacing w:after="200" w:line="276" w:lineRule="auto"/>
    </w:pPr>
    <w:rPr>
      <w:rFonts w:ascii="Calibri" w:hAnsi="Calibri" w:cs="Calibri"/>
      <w:sz w:val="22"/>
      <w:szCs w:val="22"/>
      <w:lang w:val="ru-RU" w:eastAsia="zh-CN" w:bidi="ar-SA"/>
    </w:rPr>
  </w:style>
  <w:style w:type="paragraph" w:styleId="858">
    <w:name w:val="Заголовок 1"/>
    <w:basedOn w:val="857"/>
    <w:next w:val="857"/>
    <w:link w:val="857"/>
    <w:qFormat/>
    <w:pPr>
      <w:jc w:val="center"/>
      <w:keepLines/>
      <w:keepNext/>
      <w:spacing w:before="0" w:after="0" w:line="240" w:lineRule="auto"/>
    </w:pPr>
    <w:rPr>
      <w:rFonts w:ascii="Times New Roman" w:hAnsi="Times New Roman" w:eastAsia="Calibri" w:cs="Times New Roman"/>
      <w:bCs/>
      <w:color w:val="000000"/>
      <w:sz w:val="28"/>
      <w:szCs w:val="28"/>
    </w:rPr>
  </w:style>
  <w:style w:type="paragraph" w:styleId="859">
    <w:name w:val="Заголовок 2"/>
    <w:basedOn w:val="857"/>
    <w:next w:val="857"/>
    <w:link w:val="857"/>
    <w:qFormat/>
    <w:pPr>
      <w:keepLines/>
      <w:keepNext/>
      <w:spacing w:before="0" w:after="0" w:line="240" w:lineRule="auto"/>
    </w:pPr>
    <w:rPr>
      <w:rFonts w:ascii="Times New Roman" w:hAnsi="Times New Roman" w:eastAsia="Calibri" w:cs="Times New Roman"/>
      <w:b/>
      <w:bCs/>
      <w:sz w:val="28"/>
      <w:szCs w:val="26"/>
    </w:rPr>
  </w:style>
  <w:style w:type="paragraph" w:styleId="860">
    <w:name w:val="Заголовок 3"/>
    <w:basedOn w:val="857"/>
    <w:next w:val="857"/>
    <w:link w:val="857"/>
    <w:qFormat/>
    <w:pPr>
      <w:numPr>
        <w:ilvl w:val="2"/>
        <w:numId w:val="1"/>
      </w:numPr>
      <w:keepLines/>
      <w:keepNext/>
      <w:spacing w:before="200" w:after="0" w:line="240" w:lineRule="auto"/>
      <w:outlineLvl w:val="2"/>
    </w:pPr>
    <w:rPr>
      <w:rFonts w:ascii="Cambria" w:hAnsi="Cambria" w:eastAsia="Calibri" w:cs="Cambria"/>
      <w:b/>
      <w:bCs/>
      <w:color w:val="4f81bd"/>
      <w:sz w:val="24"/>
      <w:szCs w:val="24"/>
    </w:rPr>
  </w:style>
  <w:style w:type="paragraph" w:styleId="861">
    <w:name w:val="Заголовок 4"/>
    <w:basedOn w:val="857"/>
    <w:next w:val="857"/>
    <w:link w:val="857"/>
    <w:qFormat/>
    <w:pPr>
      <w:numPr>
        <w:ilvl w:val="3"/>
        <w:numId w:val="1"/>
      </w:numPr>
      <w:keepLines/>
      <w:keepNext/>
      <w:spacing w:before="200" w:after="0" w:line="240" w:lineRule="auto"/>
      <w:outlineLvl w:val="3"/>
    </w:pPr>
    <w:rPr>
      <w:rFonts w:ascii="Cambria" w:hAnsi="Cambria" w:eastAsia="Calibri" w:cs="Cambria"/>
      <w:b/>
      <w:bCs/>
      <w:i/>
      <w:iCs/>
      <w:color w:val="4f81bd"/>
      <w:sz w:val="24"/>
      <w:szCs w:val="24"/>
    </w:rPr>
  </w:style>
  <w:style w:type="paragraph" w:styleId="862">
    <w:name w:val="Заголовок 5"/>
    <w:basedOn w:val="857"/>
    <w:next w:val="857"/>
    <w:link w:val="857"/>
    <w:qFormat/>
    <w:pPr>
      <w:numPr>
        <w:ilvl w:val="4"/>
        <w:numId w:val="1"/>
      </w:numPr>
      <w:keepLines/>
      <w:keepNext/>
      <w:spacing w:before="200" w:after="0" w:line="240" w:lineRule="auto"/>
      <w:outlineLvl w:val="4"/>
    </w:pPr>
    <w:rPr>
      <w:rFonts w:ascii="Cambria" w:hAnsi="Cambria" w:eastAsia="Calibri" w:cs="Cambria"/>
      <w:color w:val="243f60"/>
      <w:sz w:val="24"/>
      <w:szCs w:val="24"/>
    </w:rPr>
  </w:style>
  <w:style w:type="paragraph" w:styleId="863">
    <w:name w:val="Заголовок 6"/>
    <w:basedOn w:val="857"/>
    <w:next w:val="857"/>
    <w:link w:val="857"/>
    <w:qFormat/>
    <w:pPr>
      <w:numPr>
        <w:ilvl w:val="5"/>
        <w:numId w:val="1"/>
      </w:numPr>
      <w:keepLines/>
      <w:keepNext/>
      <w:spacing w:before="200" w:after="0" w:line="240" w:lineRule="auto"/>
      <w:outlineLvl w:val="5"/>
    </w:pPr>
    <w:rPr>
      <w:rFonts w:ascii="Cambria" w:hAnsi="Cambria" w:eastAsia="Calibri" w:cs="Cambria"/>
      <w:i/>
      <w:iCs/>
      <w:color w:val="243f60"/>
      <w:sz w:val="24"/>
      <w:szCs w:val="24"/>
    </w:rPr>
  </w:style>
  <w:style w:type="paragraph" w:styleId="864">
    <w:name w:val="Заголовок 7"/>
    <w:basedOn w:val="857"/>
    <w:next w:val="857"/>
    <w:link w:val="857"/>
    <w:qFormat/>
    <w:pPr>
      <w:numPr>
        <w:ilvl w:val="6"/>
        <w:numId w:val="1"/>
      </w:numPr>
      <w:keepLines/>
      <w:keepNext/>
      <w:spacing w:before="200" w:after="0" w:line="240" w:lineRule="auto"/>
      <w:outlineLvl w:val="6"/>
    </w:pPr>
    <w:rPr>
      <w:rFonts w:ascii="Cambria" w:hAnsi="Cambria" w:eastAsia="Calibri" w:cs="Cambria"/>
      <w:i/>
      <w:iCs/>
      <w:color w:val="404040"/>
      <w:sz w:val="24"/>
      <w:szCs w:val="24"/>
    </w:rPr>
  </w:style>
  <w:style w:type="paragraph" w:styleId="865">
    <w:name w:val="Заголовок 8"/>
    <w:basedOn w:val="857"/>
    <w:next w:val="857"/>
    <w:link w:val="857"/>
    <w:qFormat/>
    <w:pPr>
      <w:numPr>
        <w:ilvl w:val="7"/>
        <w:numId w:val="1"/>
      </w:numPr>
      <w:keepLines/>
      <w:keepNext/>
      <w:spacing w:before="200" w:after="0" w:line="240" w:lineRule="auto"/>
      <w:outlineLvl w:val="7"/>
    </w:pPr>
    <w:rPr>
      <w:rFonts w:ascii="Cambria" w:hAnsi="Cambria" w:eastAsia="Calibri" w:cs="Cambria"/>
      <w:color w:val="404040"/>
      <w:sz w:val="20"/>
      <w:szCs w:val="20"/>
    </w:rPr>
  </w:style>
  <w:style w:type="paragraph" w:styleId="866">
    <w:name w:val="Заголовок 9"/>
    <w:basedOn w:val="857"/>
    <w:next w:val="857"/>
    <w:link w:val="857"/>
    <w:qFormat/>
    <w:pPr>
      <w:numPr>
        <w:ilvl w:val="8"/>
        <w:numId w:val="1"/>
      </w:numPr>
      <w:keepLines/>
      <w:keepNext/>
      <w:spacing w:before="200" w:after="0" w:line="240" w:lineRule="auto"/>
      <w:outlineLvl w:val="8"/>
    </w:pPr>
    <w:rPr>
      <w:rFonts w:ascii="Cambria" w:hAnsi="Cambria" w:eastAsia="Calibri" w:cs="Cambria"/>
      <w:i/>
      <w:iCs/>
      <w:color w:val="404040"/>
      <w:sz w:val="20"/>
      <w:szCs w:val="20"/>
    </w:rPr>
  </w:style>
  <w:style w:type="character" w:styleId="867">
    <w:name w:val="Основной шрифт абзаца"/>
    <w:next w:val="867"/>
    <w:link w:val="857"/>
    <w:uiPriority w:val="1"/>
    <w:semiHidden/>
    <w:unhideWhenUsed/>
  </w:style>
  <w:style w:type="table" w:styleId="868">
    <w:name w:val="Обычная таблица"/>
    <w:next w:val="868"/>
    <w:link w:val="857"/>
    <w:uiPriority w:val="99"/>
    <w:semiHidden/>
    <w:unhideWhenUsed/>
    <w:tblPr/>
  </w:style>
  <w:style w:type="numbering" w:styleId="869">
    <w:name w:val="Нет списка"/>
    <w:next w:val="869"/>
    <w:link w:val="857"/>
    <w:uiPriority w:val="99"/>
    <w:semiHidden/>
    <w:unhideWhenUsed/>
  </w:style>
  <w:style w:type="character" w:styleId="870">
    <w:name w:val="WW8Num1z0"/>
    <w:next w:val="870"/>
    <w:link w:val="857"/>
    <w:rPr>
      <w:rFonts w:cs="Times New Roman"/>
    </w:rPr>
  </w:style>
  <w:style w:type="character" w:styleId="871">
    <w:name w:val="WW8Num1z1"/>
    <w:next w:val="871"/>
    <w:link w:val="857"/>
    <w:rPr>
      <w:rFonts w:ascii="Times New Roman" w:hAnsi="Times New Roman" w:cs="Times New Roman"/>
      <w:b/>
      <w:sz w:val="28"/>
      <w:szCs w:val="28"/>
    </w:rPr>
  </w:style>
  <w:style w:type="character" w:styleId="872">
    <w:name w:val="Основной шрифт абзаца1"/>
    <w:next w:val="872"/>
    <w:link w:val="857"/>
  </w:style>
  <w:style w:type="character" w:styleId="873">
    <w:name w:val="Заголовок 2 Знак"/>
    <w:basedOn w:val="872"/>
    <w:next w:val="873"/>
    <w:link w:val="857"/>
    <w:rPr>
      <w:rFonts w:eastAsia="Calibri"/>
      <w:b/>
      <w:bCs/>
      <w:sz w:val="28"/>
      <w:szCs w:val="26"/>
      <w:lang w:val="ru-RU" w:bidi="ar-SA"/>
    </w:rPr>
  </w:style>
  <w:style w:type="character" w:styleId="874">
    <w:name w:val="Заголовок 1 Знак"/>
    <w:basedOn w:val="872"/>
    <w:next w:val="874"/>
    <w:link w:val="857"/>
    <w:rPr>
      <w:rFonts w:eastAsia="Calibri"/>
      <w:bCs/>
      <w:color w:val="000000"/>
      <w:sz w:val="28"/>
      <w:szCs w:val="28"/>
      <w:lang w:val="ru-RU" w:bidi="ar-SA"/>
    </w:rPr>
  </w:style>
  <w:style w:type="character" w:styleId="875">
    <w:name w:val="Текст сноски Знак"/>
    <w:basedOn w:val="872"/>
    <w:next w:val="875"/>
    <w:link w:val="857"/>
    <w:rPr>
      <w:lang w:val="ru-RU" w:bidi="ar-SA"/>
    </w:rPr>
  </w:style>
  <w:style w:type="character" w:styleId="876">
    <w:name w:val="Символ сноски"/>
    <w:basedOn w:val="872"/>
    <w:next w:val="876"/>
    <w:link w:val="857"/>
    <w:rPr>
      <w:vertAlign w:val="superscript"/>
    </w:rPr>
  </w:style>
  <w:style w:type="character" w:styleId="877">
    <w:name w:val="Номер страницы"/>
    <w:basedOn w:val="872"/>
    <w:next w:val="877"/>
    <w:link w:val="857"/>
  </w:style>
  <w:style w:type="paragraph" w:styleId="878">
    <w:name w:val="Заголовок"/>
    <w:basedOn w:val="857"/>
    <w:next w:val="879"/>
    <w:link w:val="857"/>
    <w:pPr>
      <w:keepNext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879">
    <w:name w:val="Основной текст"/>
    <w:basedOn w:val="857"/>
    <w:next w:val="879"/>
    <w:link w:val="857"/>
    <w:pPr>
      <w:spacing w:before="0" w:after="140" w:line="276" w:lineRule="auto"/>
    </w:pPr>
  </w:style>
  <w:style w:type="paragraph" w:styleId="880">
    <w:name w:val="Список"/>
    <w:basedOn w:val="879"/>
    <w:next w:val="880"/>
    <w:link w:val="857"/>
    <w:rPr>
      <w:rFonts w:cs="Lohit Devanagari"/>
    </w:rPr>
  </w:style>
  <w:style w:type="paragraph" w:styleId="881">
    <w:name w:val="Название объекта"/>
    <w:basedOn w:val="857"/>
    <w:next w:val="881"/>
    <w:link w:val="857"/>
    <w:qFormat/>
    <w:pPr>
      <w:spacing w:before="120" w:after="120"/>
      <w:suppressLineNumbers/>
    </w:pPr>
    <w:rPr>
      <w:rFonts w:cs="Lohit Devanagari"/>
      <w:i/>
      <w:iCs/>
      <w:sz w:val="24"/>
      <w:szCs w:val="24"/>
    </w:rPr>
  </w:style>
  <w:style w:type="paragraph" w:styleId="882">
    <w:name w:val="Указатель1"/>
    <w:basedOn w:val="857"/>
    <w:next w:val="882"/>
    <w:link w:val="857"/>
    <w:pPr>
      <w:suppressLineNumbers/>
    </w:pPr>
    <w:rPr>
      <w:rFonts w:cs="Lohit Devanagari"/>
    </w:rPr>
  </w:style>
  <w:style w:type="paragraph" w:styleId="883">
    <w:name w:val="Текст сноски"/>
    <w:basedOn w:val="857"/>
    <w:next w:val="883"/>
    <w:link w:val="857"/>
    <w:uiPriority w:val="99"/>
    <w:pPr>
      <w:spacing w:before="0"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884">
    <w:name w:val="Нижний колонтитул"/>
    <w:basedOn w:val="857"/>
    <w:next w:val="884"/>
    <w:link w:val="857"/>
    <w:pPr>
      <w:tabs>
        <w:tab w:val="center" w:pos="4677" w:leader="none"/>
        <w:tab w:val="right" w:pos="9355" w:leader="none"/>
      </w:tabs>
    </w:pPr>
  </w:style>
  <w:style w:type="paragraph" w:styleId="885">
    <w:name w:val="Верхний колонтитул"/>
    <w:basedOn w:val="857"/>
    <w:next w:val="885"/>
    <w:link w:val="857"/>
    <w:pPr>
      <w:tabs>
        <w:tab w:val="center" w:pos="4677" w:leader="none"/>
        <w:tab w:val="right" w:pos="9355" w:leader="none"/>
      </w:tabs>
    </w:pPr>
  </w:style>
  <w:style w:type="character" w:styleId="886">
    <w:name w:val="Знак сноски"/>
    <w:next w:val="886"/>
    <w:link w:val="857"/>
    <w:uiPriority w:val="99"/>
    <w:rPr>
      <w:vertAlign w:val="superscript"/>
    </w:rPr>
  </w:style>
  <w:style w:type="character" w:styleId="887" w:default="1">
    <w:name w:val="Default Paragraph Font"/>
    <w:uiPriority w:val="1"/>
    <w:semiHidden/>
    <w:unhideWhenUsed/>
  </w:style>
  <w:style w:type="numbering" w:styleId="888" w:default="1">
    <w:name w:val="No List"/>
    <w:uiPriority w:val="99"/>
    <w:semiHidden/>
    <w:unhideWhenUsed/>
  </w:style>
  <w:style w:type="table" w:styleId="88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для медицинского работника, привлекаемого в дни проведения государственной итоговой аттестации по образовательным программам среднего общего образования на территории Вологодской области</dc:title>
  <dc:creator>akorotkova</dc:creator>
  <cp:revision>39</cp:revision>
  <dcterms:created xsi:type="dcterms:W3CDTF">2016-01-14T08:21:00Z</dcterms:created>
  <dcterms:modified xsi:type="dcterms:W3CDTF">2025-02-17T10:50:56Z</dcterms:modified>
  <cp:version>786432</cp:version>
</cp:coreProperties>
</file>