
<file path=[Content_Types].xml><?xml version="1.0" encoding="utf-8"?>
<Types xmlns="http://schemas.openxmlformats.org/package/2006/content-types">
  <Default Extension="wmf" ContentType="image/x-wmf"/>
  <Default Extension="png" ContentType="image/pn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Override PartName="/word/footer1.xml" ContentType="application/vnd.openxmlformats-officedocument.wordprocessingml.footer+xml"/>
  <Override PartName="/word/numbering.xml" ContentType="application/vnd.openxmlformats-officedocument.wordprocessingml.numbering+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Override PartName="/word/styles.xml" ContentType="application/vnd.openxmlformats-officedocument.wordprocessingml.styles+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ind w:left="5670" w:firstLine="0"/>
        <w:spacing w:before="0" w:beforeAutospacing="0" w:after="0" w:afterAutospacing="0" w:line="240" w:lineRule="auto"/>
        <w:tabs>
          <w:tab w:val="left" w:pos="5400" w:leader="none"/>
        </w:tabs>
        <w:rPr>
          <w:rFonts w:ascii="Tinos" w:hAnsi="Tinos" w:cs="Tinos"/>
          <w:bCs/>
          <w:sz w:val="28"/>
          <w:szCs w:val="28"/>
          <w:highlight w:val="none"/>
        </w:rPr>
      </w:pPr>
      <w:r>
        <w:rPr>
          <w:rFonts w:ascii="Tinos" w:hAnsi="Tinos" w:eastAsia="Tinos" w:cs="Tinos"/>
          <w:bCs/>
          <w:sz w:val="28"/>
          <w:szCs w:val="28"/>
          <w:highlight w:val="none"/>
          <w:lang w:val="ru-RU"/>
        </w:rPr>
        <w:t xml:space="preserve">УТВЕРЖДЕНО</w:t>
      </w:r>
      <w:r>
        <w:rPr>
          <w:rFonts w:ascii="Tinos" w:hAnsi="Tinos" w:cs="Tinos"/>
          <w:bCs/>
          <w:sz w:val="28"/>
          <w:szCs w:val="28"/>
          <w:highlight w:val="none"/>
        </w:rPr>
      </w:r>
      <w:r>
        <w:rPr>
          <w:rFonts w:ascii="Tinos" w:hAnsi="Tinos" w:cs="Tinos"/>
          <w:bCs/>
          <w:sz w:val="28"/>
          <w:szCs w:val="28"/>
          <w:highlight w:val="none"/>
        </w:rPr>
      </w:r>
    </w:p>
    <w:p>
      <w:pPr>
        <w:ind w:left="5670" w:firstLine="0"/>
        <w:spacing w:before="0" w:beforeAutospacing="0" w:after="0" w:afterAutospacing="0" w:line="240" w:lineRule="auto"/>
        <w:tabs>
          <w:tab w:val="left" w:pos="5400" w:leader="none"/>
        </w:tabs>
        <w:rPr>
          <w:rFonts w:ascii="Tinos" w:hAnsi="Tinos" w:cs="Tinos"/>
          <w:bCs/>
          <w:sz w:val="28"/>
          <w:szCs w:val="28"/>
          <w:highlight w:val="none"/>
        </w:rPr>
      </w:pPr>
      <w:r>
        <w:rPr>
          <w:rFonts w:ascii="Tinos" w:hAnsi="Tinos" w:eastAsia="Tinos" w:cs="Tinos"/>
          <w:bCs/>
          <w:sz w:val="28"/>
          <w:szCs w:val="28"/>
          <w:highlight w:val="none"/>
          <w:lang w:val="ru-RU"/>
        </w:rPr>
        <w:t xml:space="preserve">приказом Министерства</w:t>
      </w:r>
      <w:r>
        <w:rPr>
          <w:rFonts w:ascii="Tinos" w:hAnsi="Tinos" w:cs="Tinos"/>
          <w:bCs/>
          <w:sz w:val="28"/>
          <w:szCs w:val="28"/>
          <w:highlight w:val="none"/>
        </w:rPr>
      </w:r>
      <w:r>
        <w:rPr>
          <w:rFonts w:ascii="Tinos" w:hAnsi="Tinos" w:cs="Tinos"/>
          <w:bCs/>
          <w:sz w:val="28"/>
          <w:szCs w:val="28"/>
          <w:highlight w:val="none"/>
        </w:rPr>
      </w:r>
    </w:p>
    <w:p>
      <w:pPr>
        <w:ind w:left="5670" w:firstLine="0"/>
        <w:spacing w:before="0" w:beforeAutospacing="0" w:after="0" w:afterAutospacing="0" w:line="240" w:lineRule="auto"/>
        <w:tabs>
          <w:tab w:val="left" w:pos="5400" w:leader="none"/>
        </w:tabs>
        <w:rPr>
          <w:rFonts w:ascii="Tinos" w:hAnsi="Tinos" w:cs="Tinos"/>
          <w:bCs/>
          <w:sz w:val="28"/>
          <w:szCs w:val="28"/>
          <w:highlight w:val="none"/>
        </w:rPr>
      </w:pPr>
      <w:r>
        <w:rPr>
          <w:rFonts w:ascii="Tinos" w:hAnsi="Tinos" w:eastAsia="Tinos" w:cs="Tinos"/>
          <w:bCs/>
          <w:sz w:val="28"/>
          <w:szCs w:val="28"/>
          <w:highlight w:val="none"/>
          <w:lang w:val="ru-RU"/>
        </w:rPr>
        <w:t xml:space="preserve">образования области </w:t>
      </w:r>
      <w:r>
        <w:rPr>
          <w:rFonts w:ascii="Tinos" w:hAnsi="Tinos" w:cs="Tinos"/>
          <w:bCs/>
          <w:sz w:val="28"/>
          <w:szCs w:val="28"/>
          <w:highlight w:val="none"/>
        </w:rPr>
      </w:r>
      <w:r>
        <w:rPr>
          <w:rFonts w:ascii="Tinos" w:hAnsi="Tinos" w:cs="Tinos"/>
          <w:bCs/>
          <w:sz w:val="28"/>
          <w:szCs w:val="28"/>
          <w:highlight w:val="none"/>
        </w:rPr>
      </w:r>
    </w:p>
    <w:p>
      <w:pPr>
        <w:ind w:left="5670" w:firstLine="0"/>
        <w:spacing w:before="0" w:beforeAutospacing="0" w:after="0" w:afterAutospacing="0" w:line="240" w:lineRule="auto"/>
        <w:tabs>
          <w:tab w:val="left" w:pos="5400" w:leader="none"/>
        </w:tabs>
        <w:rPr>
          <w:rFonts w:ascii="Tinos" w:hAnsi="Tinos" w:cs="Tinos"/>
          <w:bCs/>
          <w:sz w:val="28"/>
          <w:szCs w:val="28"/>
          <w:highlight w:val="none"/>
        </w:rPr>
      </w:pPr>
      <w:r>
        <w:rPr>
          <w:rFonts w:ascii="Tinos" w:hAnsi="Tinos" w:eastAsia="Tinos" w:cs="Tinos"/>
          <w:bCs/>
          <w:sz w:val="28"/>
          <w:szCs w:val="28"/>
          <w:highlight w:val="none"/>
          <w:lang w:val="ru-RU"/>
        </w:rPr>
        <w:t xml:space="preserve">от __________ 2025 года № ____</w:t>
      </w:r>
      <w:r>
        <w:rPr>
          <w:rFonts w:ascii="Tinos" w:hAnsi="Tinos" w:cs="Tinos"/>
          <w:bCs/>
          <w:sz w:val="28"/>
          <w:szCs w:val="28"/>
          <w:highlight w:val="none"/>
        </w:rPr>
      </w:r>
      <w:r>
        <w:rPr>
          <w:rFonts w:ascii="Tinos" w:hAnsi="Tinos" w:cs="Tinos"/>
          <w:bCs/>
          <w:sz w:val="28"/>
          <w:szCs w:val="28"/>
          <w:highlight w:val="none"/>
        </w:rPr>
      </w:r>
    </w:p>
    <w:p>
      <w:pPr>
        <w:ind w:left="5670" w:firstLine="0"/>
        <w:spacing w:before="0" w:beforeAutospacing="0" w:after="0" w:afterAutospacing="0" w:line="240" w:lineRule="auto"/>
        <w:tabs>
          <w:tab w:val="left" w:pos="5954" w:leader="none"/>
        </w:tabs>
        <w:rPr>
          <w:rFonts w:ascii="Tinos" w:hAnsi="Tinos" w:cs="Tinos"/>
          <w:color w:val="auto"/>
          <w:sz w:val="28"/>
          <w:szCs w:val="28"/>
          <w:highlight w:val="none"/>
        </w:rPr>
      </w:pPr>
      <w:r>
        <w:rPr>
          <w:rFonts w:ascii="Tinos" w:hAnsi="Tinos" w:eastAsia="Tinos" w:cs="Tinos"/>
          <w:bCs/>
          <w:sz w:val="28"/>
          <w:szCs w:val="28"/>
          <w:highlight w:val="none"/>
          <w:lang w:val="ru-RU"/>
        </w:rPr>
        <w:t xml:space="preserve">(приложение </w:t>
      </w:r>
      <w:r>
        <w:rPr>
          <w:rFonts w:ascii="Tinos" w:hAnsi="Tinos" w:eastAsia="Tinos" w:cs="Tinos"/>
          <w:bCs/>
          <w:sz w:val="28"/>
          <w:szCs w:val="28"/>
          <w:highlight w:val="none"/>
          <w:lang w:val="ru-RU"/>
        </w:rPr>
        <w:t xml:space="preserve">9</w:t>
      </w:r>
      <w:r>
        <w:rPr>
          <w:rFonts w:ascii="Tinos" w:hAnsi="Tinos" w:eastAsia="Tinos" w:cs="Tinos"/>
          <w:bCs/>
          <w:sz w:val="28"/>
          <w:szCs w:val="28"/>
          <w:highlight w:val="none"/>
          <w:lang w:val="ru-RU"/>
        </w:rPr>
        <w:t xml:space="preserve">)</w:t>
      </w:r>
      <w:r>
        <w:rPr>
          <w:rFonts w:ascii="Tinos" w:hAnsi="Tinos" w:cs="Tinos"/>
          <w:color w:val="auto"/>
          <w:sz w:val="28"/>
          <w:szCs w:val="28"/>
          <w:highlight w:val="none"/>
        </w:rPr>
      </w:r>
      <w:r>
        <w:rPr>
          <w:rFonts w:ascii="Tinos" w:hAnsi="Tinos" w:cs="Tinos"/>
          <w:color w:val="auto"/>
          <w:sz w:val="28"/>
          <w:szCs w:val="28"/>
          <w:highlight w:val="none"/>
        </w:rPr>
      </w:r>
    </w:p>
    <w:p>
      <w:pPr>
        <w:ind w:left="5940"/>
        <w:spacing w:before="0" w:beforeAutospacing="0" w:after="0" w:afterAutospacing="0" w:line="240" w:lineRule="auto"/>
        <w:rPr>
          <w:rFonts w:ascii="Tinos" w:hAnsi="Tinos" w:cs="Tinos"/>
          <w:bCs/>
          <w:sz w:val="28"/>
          <w:szCs w:val="28"/>
          <w:highlight w:val="cyan"/>
        </w:rPr>
      </w:pPr>
      <w:r>
        <w:rPr>
          <w:rFonts w:ascii="Tinos" w:hAnsi="Tinos" w:eastAsia="Tinos" w:cs="Tinos"/>
          <w:bCs/>
          <w:sz w:val="28"/>
          <w:szCs w:val="28"/>
          <w:highlight w:val="cyan"/>
          <w:lang w:val="ru-RU"/>
        </w:rPr>
      </w:r>
      <w:r>
        <w:rPr>
          <w:rFonts w:ascii="Tinos" w:hAnsi="Tinos" w:cs="Tinos"/>
          <w:bCs/>
          <w:sz w:val="28"/>
          <w:szCs w:val="28"/>
          <w:highlight w:val="cyan"/>
        </w:rPr>
      </w:r>
      <w:r>
        <w:rPr>
          <w:rFonts w:ascii="Tinos" w:hAnsi="Tinos" w:cs="Tinos"/>
          <w:bCs/>
          <w:sz w:val="28"/>
          <w:szCs w:val="28"/>
          <w:highlight w:val="cyan"/>
        </w:rPr>
      </w:r>
    </w:p>
    <w:p>
      <w:pPr>
        <w:ind w:firstLine="0"/>
        <w:jc w:val="center"/>
        <w:spacing w:before="0" w:beforeAutospacing="0" w:after="0" w:afterAutospacing="0" w:line="240" w:lineRule="auto"/>
        <w:rPr>
          <w:rFonts w:ascii="Tinos" w:hAnsi="Tinos" w:cs="Tinos"/>
          <w:bCs/>
          <w:sz w:val="28"/>
          <w:szCs w:val="28"/>
          <w:highlight w:val="none"/>
        </w:rPr>
      </w:pPr>
      <w:r>
        <w:rPr>
          <w:rFonts w:ascii="Tinos" w:hAnsi="Tinos" w:eastAsia="Tinos" w:cs="Tinos"/>
          <w:bCs/>
          <w:sz w:val="28"/>
          <w:szCs w:val="28"/>
          <w:highlight w:val="none"/>
          <w:lang w:val="ru-RU" w:eastAsia="ru-RU"/>
        </w:rPr>
        <w:t xml:space="preserve">Инструкция по подготовке и проведению единого государственного экзамена по учебному предмету «Информатика» в компьютерной форме</w:t>
      </w:r>
      <w:r>
        <w:rPr>
          <w:rFonts w:ascii="Tinos" w:hAnsi="Tinos" w:eastAsia="Tinos" w:cs="Tinos"/>
          <w:b/>
          <w:sz w:val="28"/>
          <w:szCs w:val="28"/>
          <w:highlight w:val="none"/>
          <w:lang w:val="ru-RU"/>
        </w:rPr>
        <w:t xml:space="preserve"> </w:t>
      </w:r>
      <w:r>
        <w:rPr>
          <w:rFonts w:ascii="Tinos" w:hAnsi="Tinos" w:eastAsia="Tinos" w:cs="Tinos"/>
          <w:bCs/>
          <w:sz w:val="28"/>
          <w:szCs w:val="28"/>
          <w:highlight w:val="none"/>
          <w:lang w:val="ru-RU" w:eastAsia="ru-RU"/>
        </w:rPr>
        <w:t xml:space="preserve">на территории Вологодской области (далее – Инструкция)</w:t>
      </w:r>
      <w:r>
        <w:rPr>
          <w:rFonts w:ascii="Tinos" w:hAnsi="Tinos" w:cs="Tinos"/>
          <w:bCs/>
          <w:sz w:val="28"/>
          <w:szCs w:val="28"/>
          <w:highlight w:val="none"/>
        </w:rPr>
      </w:r>
      <w:r>
        <w:rPr>
          <w:rFonts w:ascii="Tinos" w:hAnsi="Tinos" w:cs="Tinos"/>
          <w:bCs/>
          <w:sz w:val="28"/>
          <w:szCs w:val="28"/>
          <w:highlight w:val="none"/>
        </w:rPr>
      </w:r>
    </w:p>
    <w:p>
      <w:pPr>
        <w:jc w:val="center"/>
        <w:spacing w:before="0" w:beforeAutospacing="0" w:after="0" w:afterAutospacing="0" w:line="240" w:lineRule="auto"/>
        <w:rPr>
          <w:rFonts w:ascii="Tinos" w:hAnsi="Tinos" w:cs="Tinos"/>
          <w:bCs/>
          <w:sz w:val="28"/>
          <w:szCs w:val="28"/>
          <w:highlight w:val="none"/>
        </w:rPr>
      </w:pPr>
      <w:r>
        <w:rPr>
          <w:rFonts w:ascii="Tinos" w:hAnsi="Tinos" w:eastAsia="Tinos" w:cs="Tinos"/>
          <w:bCs/>
          <w:sz w:val="28"/>
          <w:szCs w:val="28"/>
          <w:highlight w:val="none"/>
          <w:lang w:val="ru-RU"/>
        </w:rPr>
      </w:r>
      <w:r>
        <w:rPr>
          <w:rFonts w:ascii="Tinos" w:hAnsi="Tinos" w:cs="Tinos"/>
          <w:bCs/>
          <w:sz w:val="28"/>
          <w:szCs w:val="28"/>
          <w:highlight w:val="none"/>
        </w:rPr>
      </w:r>
      <w:r>
        <w:rPr>
          <w:rFonts w:ascii="Tinos" w:hAnsi="Tinos" w:cs="Tinos"/>
          <w:bCs/>
          <w:sz w:val="28"/>
          <w:szCs w:val="28"/>
          <w:highlight w:val="none"/>
        </w:rPr>
      </w:r>
    </w:p>
    <w:p>
      <w:pPr>
        <w:numPr>
          <w:ilvl w:val="0"/>
          <w:numId w:val="1"/>
        </w:numPr>
        <w:ind w:left="0"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Общие положения</w:t>
      </w:r>
      <w:r>
        <w:rPr>
          <w:rFonts w:ascii="Tinos" w:hAnsi="Tinos" w:cs="Tinos"/>
          <w:sz w:val="28"/>
          <w:szCs w:val="28"/>
          <w:highlight w:val="none"/>
        </w:rPr>
      </w:r>
      <w:r>
        <w:rPr>
          <w:rFonts w:ascii="Tinos" w:hAnsi="Tinos" w:cs="Tinos"/>
          <w:sz w:val="28"/>
          <w:szCs w:val="28"/>
          <w:highlight w:val="none"/>
        </w:rPr>
      </w:r>
    </w:p>
    <w:p>
      <w:pPr>
        <w:ind w:firstLine="0"/>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rPr>
      </w:r>
      <w:r>
        <w:rPr>
          <w:rFonts w:ascii="Tinos" w:hAnsi="Tinos" w:cs="Tinos"/>
          <w:sz w:val="28"/>
          <w:szCs w:val="28"/>
          <w:highlight w:val="cyan"/>
        </w:rPr>
      </w:r>
      <w:r>
        <w:rPr>
          <w:rFonts w:ascii="Tinos" w:hAnsi="Tinos" w:cs="Tinos"/>
          <w:sz w:val="28"/>
          <w:szCs w:val="28"/>
          <w:highlight w:val="cyan"/>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Общие требования к организации пункта проведения экзаменов </w:t>
      </w:r>
      <w:r>
        <w:rPr>
          <w:rFonts w:ascii="Tinos" w:hAnsi="Tinos" w:eastAsia="Tinos" w:cs="Tinos"/>
          <w:sz w:val="28"/>
          <w:szCs w:val="28"/>
          <w:highlight w:val="none"/>
          <w:lang w:val="ru-RU"/>
        </w:rPr>
        <w:br/>
        <w:t xml:space="preserve">(далее – ППЭ) содержатся в Положении </w:t>
      </w:r>
      <w:r>
        <w:rPr>
          <w:rFonts w:ascii="Tinos" w:hAnsi="Tinos" w:eastAsia="Tinos" w:cs="Tinos"/>
          <w:bCs/>
          <w:sz w:val="28"/>
          <w:szCs w:val="28"/>
          <w:highlight w:val="none"/>
          <w:lang w:val="ru-RU"/>
        </w:rPr>
        <w:t xml:space="preserve">о пункте проведения экзаменов при проведении государственной итоговой аттестации по образовательным программам среднего общего образования на территории Вологодской области, утвержденном настоящим приказом</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Проведение КЕГЭ в пунктах проведения экзаменов (далее – ППЭ) имеет ряд ключевых особенностей:</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Каждому участнику экзамена предоставляется автоматизированное рабочее место без выхода в сеть «Интернет» с установленным специализированным программным обеспечением (далее – ПО)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(далее –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набором </w:t>
      </w:r>
      <w:r>
        <w:rPr>
          <w:rFonts w:ascii="Tinos" w:hAnsi="Tinos" w:eastAsia="Tinos" w:cs="Tinos"/>
          <w:sz w:val="28"/>
          <w:szCs w:val="28"/>
          <w:highlight w:val="none"/>
          <w:lang w:val="ru-RU"/>
        </w:rPr>
        <w:t xml:space="preserve">стандартного ПО (текстовые редакторы, редакторы электронных таблиц, среды программирования на языках:</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C</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C</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Pascal</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Java</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Python</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24"/>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Участникам КЕГЭ разрешается использовать программу </w:t>
      </w:r>
      <w:r>
        <w:rPr>
          <w:rFonts w:ascii="Tinos" w:hAnsi="Tinos" w:eastAsia="Tinos" w:cs="Tinos"/>
          <w:sz w:val="28"/>
          <w:szCs w:val="28"/>
          <w:highlight w:val="none"/>
        </w:rPr>
        <w:t xml:space="preserve">Microsoft</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Windows</w:t>
      </w:r>
      <w:r>
        <w:rPr>
          <w:rFonts w:ascii="Tinos" w:hAnsi="Tinos" w:eastAsia="Tinos" w:cs="Tinos"/>
          <w:sz w:val="28"/>
          <w:szCs w:val="28"/>
          <w:highlight w:val="none"/>
          <w:lang w:val="ru-RU"/>
        </w:rPr>
        <w:t xml:space="preserve"> «Калькулятор», предназначенную для выполнения вычислительных </w:t>
      </w:r>
      <w:r>
        <w:rPr>
          <w:rFonts w:ascii="Tinos" w:hAnsi="Tinos" w:eastAsia="Tinos" w:cs="Tinos"/>
          <w:sz w:val="28"/>
          <w:szCs w:val="28"/>
          <w:highlight w:val="none"/>
          <w:lang w:val="ru-RU"/>
        </w:rPr>
        <w:t xml:space="preserve">операций, а также графический редактор </w:t>
      </w:r>
      <w:r>
        <w:rPr>
          <w:rFonts w:ascii="Tinos" w:hAnsi="Tinos" w:eastAsia="Tinos" w:cs="Tinos"/>
          <w:sz w:val="28"/>
          <w:szCs w:val="28"/>
          <w:highlight w:val="none"/>
        </w:rPr>
        <w:t xml:space="preserve">Microsoft</w:t>
      </w:r>
      <w:r>
        <w:rPr>
          <w:rFonts w:ascii="Tinos" w:hAnsi="Tinos" w:eastAsia="Tinos" w:cs="Tinos"/>
          <w:sz w:val="28"/>
          <w:szCs w:val="28"/>
          <w:highlight w:val="none"/>
          <w:lang w:val="ru-RU"/>
        </w:rPr>
        <w:t xml:space="preserve"> </w:t>
      </w:r>
      <w:r>
        <w:rPr>
          <w:rFonts w:ascii="Tinos" w:hAnsi="Tinos" w:eastAsia="Tinos" w:cs="Tinos"/>
          <w:sz w:val="28"/>
          <w:szCs w:val="28"/>
          <w:highlight w:val="none"/>
        </w:rPr>
        <w:t xml:space="preserve">Paint</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устанавливается станция организатора.</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Контрольные измерительные материалы (далее – КИМ) предоставляется </w:t>
      </w:r>
      <w:r>
        <w:rPr>
          <w:rFonts w:ascii="Tinos" w:hAnsi="Tinos" w:eastAsia="Tinos" w:cs="Tinos"/>
          <w:sz w:val="28"/>
          <w:szCs w:val="28"/>
          <w:highlight w:val="none"/>
          <w:lang w:val="ru-RU"/>
        </w:rPr>
        <w:t xml:space="preserve">только в электронном виде, индивидуальный комплект (далее – ИК) содержит только бланк регистрации.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КИМ на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загружаются в ходе технической подготовки.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Код активации экзамена участники экзамена вводят самостоятельно.</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Все ответы вносятся участником экзамена в соответствующие поля в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 и в дальнейшем экспортируются.</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Время начала и окончания экзамена объявляется организатором и записывается на доске (информационном стенде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выполнения экзаменационной работы участник экзамена должен перенести в бланк регистрации контрольную сумму, которая отобразится </w:t>
      </w:r>
      <w:r>
        <w:rPr>
          <w:rFonts w:ascii="Tinos" w:hAnsi="Tinos" w:eastAsia="Tinos" w:cs="Tinos"/>
          <w:sz w:val="28"/>
          <w:szCs w:val="28"/>
          <w:highlight w:val="none"/>
          <w:lang w:val="ru-RU"/>
        </w:rPr>
        <w:t xml:space="preserve">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 а организатор должен убедиться в правильности </w:t>
      </w:r>
      <w:r>
        <w:rPr>
          <w:rFonts w:ascii="Tinos" w:hAnsi="Tinos" w:eastAsia="Tinos" w:cs="Tinos"/>
          <w:sz w:val="28"/>
          <w:szCs w:val="28"/>
          <w:highlight w:val="none"/>
          <w:lang w:val="ru-RU"/>
        </w:rPr>
        <w:t xml:space="preserve">переноса</w:t>
      </w:r>
      <w:r>
        <w:rPr>
          <w:rFonts w:ascii="Tinos" w:hAnsi="Tinos" w:eastAsia="Tinos" w:cs="Tinos"/>
          <w:sz w:val="28"/>
          <w:szCs w:val="28"/>
          <w:highlight w:val="none"/>
          <w:lang w:val="ru-RU"/>
        </w:rPr>
        <w:t xml:space="preserve"> и удостоверить данное действие своей подписью на бланке регистрации участника в специально отведённом поле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 w:val="left" w:pos="1134" w:leader="none"/>
          <w:tab w:val="left" w:pos="1418" w:leader="none"/>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 целях снижения нагрузки на зрение при сдаче экзамена, в том числе для уменьшения количества времени работы с экраном монитора, участникам экзамена предоставляется черновик КЕГЭ</w:t>
      </w:r>
      <w:r>
        <w:rPr>
          <w:rFonts w:ascii="Tinos" w:hAnsi="Tinos" w:eastAsia="Tinos" w:cs="Tinos"/>
          <w:sz w:val="28"/>
          <w:szCs w:val="28"/>
          <w:highlight w:val="none"/>
          <w:lang w:val="ru-RU"/>
        </w:rPr>
        <w:t xml:space="preserve"> (форма черновика КЕГЭ представлена в пункте 9 настоящей Инструкции)</w:t>
      </w:r>
      <w:r>
        <w:rPr>
          <w:rFonts w:ascii="Tinos" w:hAnsi="Tinos" w:eastAsia="Tinos" w:cs="Tinos"/>
          <w:sz w:val="28"/>
          <w:szCs w:val="28"/>
          <w:highlight w:val="none"/>
          <w:lang w:val="ru-RU"/>
        </w:rPr>
        <w:t xml:space="preserve">. Также на бумажном носителе </w:t>
      </w:r>
      <w:r>
        <w:rPr>
          <w:rFonts w:ascii="Tinos" w:hAnsi="Tinos" w:eastAsia="Tinos" w:cs="Tinos"/>
          <w:sz w:val="28"/>
          <w:szCs w:val="28"/>
          <w:highlight w:val="none"/>
          <w:lang w:val="ru-RU"/>
        </w:rPr>
        <w:t xml:space="preserve">предоставляется инструкция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 w:val="left" w:pos="1134" w:leader="none"/>
          <w:tab w:val="left" w:pos="1418" w:leader="none"/>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Организаторы в аудитории подробно разъясняют участникам КЕГЭ правила работы за компьютером, в том числе необходимость периодически делать пере</w:t>
      </w:r>
      <w:r>
        <w:rPr>
          <w:rFonts w:ascii="Tinos" w:hAnsi="Tinos" w:eastAsia="Tinos" w:cs="Tinos"/>
          <w:sz w:val="28"/>
          <w:szCs w:val="28"/>
          <w:highlight w:val="none"/>
          <w:lang w:val="ru-RU"/>
        </w:rPr>
        <w:t xml:space="preserve">рывы в работе непосредственно с монитором. Во время таких перерывов участники КЕГЭ могут продолжить работать над решением экзаменационных заданий, используя черновик КЕГЭ или черновики. Также участники КЕГЭ могут выполнять известные им упражнения для глаз.</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0" w:leader="none"/>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Рекомендуется первый такой перерыв сделать не позднее, чем через полчаса после начала работы за компьютером, далее через каждые 20 минут. Решение о времени начала и окончания перерыва участник КЕГЭ принимает </w:t>
      </w:r>
      <w:r>
        <w:rPr>
          <w:rFonts w:ascii="Tinos" w:hAnsi="Tinos" w:eastAsia="Tinos" w:cs="Tinos"/>
          <w:sz w:val="28"/>
          <w:szCs w:val="28"/>
          <w:highlight w:val="none"/>
          <w:lang w:val="ru-RU"/>
        </w:rPr>
        <w:t xml:space="preserve">самостоятельно.</w:t>
      </w:r>
      <w:r>
        <w:rPr>
          <w:rFonts w:ascii="Tinos" w:hAnsi="Tinos" w:cs="Tinos"/>
          <w:sz w:val="28"/>
          <w:szCs w:val="28"/>
          <w:highlight w:val="none"/>
        </w:rPr>
      </w:r>
      <w:r>
        <w:rPr>
          <w:rFonts w:ascii="Tinos" w:hAnsi="Tinos" w:cs="Tinos"/>
          <w:sz w:val="28"/>
          <w:szCs w:val="28"/>
          <w:highlight w:val="none"/>
        </w:rPr>
      </w:r>
    </w:p>
    <w:p>
      <w:pPr>
        <w:ind w:left="708" w:right="0" w:firstLine="0"/>
        <w:jc w:val="left"/>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r>
      <w:r>
        <w:rPr>
          <w:rFonts w:ascii="Tinos" w:hAnsi="Tinos" w:cs="Tinos"/>
          <w:sz w:val="28"/>
          <w:szCs w:val="28"/>
          <w:highlight w:val="none"/>
        </w:rPr>
      </w:r>
      <w:r>
        <w:rPr>
          <w:rFonts w:ascii="Tinos" w:hAnsi="Tinos" w:cs="Tinos"/>
          <w:sz w:val="28"/>
          <w:szCs w:val="28"/>
          <w:highlight w:val="none"/>
        </w:rPr>
      </w:r>
    </w:p>
    <w:p>
      <w:pPr>
        <w:numPr>
          <w:ilvl w:val="0"/>
          <w:numId w:val="1"/>
        </w:numPr>
        <w:ind w:left="0"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Особенности организации ППЭ для проведения КЕГЭ и подготовки к экзамену</w:t>
      </w:r>
      <w:r>
        <w:rPr>
          <w:rFonts w:ascii="Tinos" w:hAnsi="Tinos" w:cs="Tinos"/>
          <w:sz w:val="28"/>
          <w:szCs w:val="28"/>
          <w:highlight w:val="none"/>
        </w:rPr>
      </w:r>
      <w:r>
        <w:rPr>
          <w:rFonts w:ascii="Tinos" w:hAnsi="Tinos" w:cs="Tinos"/>
          <w:sz w:val="28"/>
          <w:szCs w:val="28"/>
          <w:highlight w:val="none"/>
        </w:rPr>
      </w:r>
    </w:p>
    <w:p>
      <w:pPr>
        <w:ind w:left="1403" w:firstLine="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При проведении КЕГЭ в аудиториях располагается большое количество компьютеров, поэтому при подготовке помещений необходимо обратить </w:t>
        <w:br/>
        <w:t xml:space="preserve">внимание на соблюдение Санитарных правил </w:t>
      </w:r>
      <w:r>
        <w:rPr>
          <w:rFonts w:ascii="Tinos" w:hAnsi="Tinos" w:eastAsia="Tinos" w:cs="Tinos"/>
          <w:sz w:val="28"/>
          <w:szCs w:val="28"/>
          <w:highlight w:val="none"/>
          <w:lang w:val="ru-RU"/>
        </w:rPr>
        <w:t xml:space="preserve">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w:t>
      </w:r>
      <w:r>
        <w:rPr>
          <w:rFonts w:ascii="Tinos" w:hAnsi="Tinos" w:eastAsia="Tinos" w:cs="Tinos"/>
          <w:sz w:val="28"/>
          <w:szCs w:val="28"/>
          <w:highlight w:val="none"/>
          <w:lang w:val="ru-RU"/>
        </w:rPr>
        <w:t xml:space="preserve">ода</w:t>
      </w:r>
      <w:r>
        <w:rPr>
          <w:rFonts w:ascii="Tinos" w:hAnsi="Tinos" w:eastAsia="Tinos" w:cs="Tinos"/>
          <w:sz w:val="28"/>
          <w:szCs w:val="28"/>
          <w:highlight w:val="none"/>
          <w:lang w:val="ru-RU"/>
        </w:rPr>
        <w:t xml:space="preserve"> № 28 (зарегистрированы Министерством юстиции Российской Федерации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18 декабря 2020 г</w:t>
      </w:r>
      <w:r>
        <w:rPr>
          <w:rFonts w:ascii="Tinos" w:hAnsi="Tinos" w:eastAsia="Tinos" w:cs="Tinos"/>
          <w:sz w:val="28"/>
          <w:szCs w:val="28"/>
          <w:highlight w:val="none"/>
          <w:lang w:val="ru-RU"/>
        </w:rPr>
        <w:t xml:space="preserve">ода</w:t>
      </w:r>
      <w:r>
        <w:rPr>
          <w:rFonts w:ascii="Tinos" w:hAnsi="Tinos" w:eastAsia="Tinos" w:cs="Tinos"/>
          <w:sz w:val="28"/>
          <w:szCs w:val="28"/>
          <w:highlight w:val="none"/>
          <w:lang w:val="ru-RU"/>
        </w:rPr>
        <w:t xml:space="preserve">, регистрационный</w:t>
      </w:r>
      <w:r>
        <w:rPr>
          <w:rFonts w:ascii="Tinos" w:hAnsi="Tinos" w:eastAsia="Tinos" w:cs="Tinos"/>
          <w:sz w:val="28"/>
          <w:szCs w:val="28"/>
          <w:highlight w:val="none"/>
          <w:lang w:val="ru-RU"/>
        </w:rPr>
        <w:t xml:space="preserve"> № 61573)</w:t>
      </w:r>
      <w:r>
        <w:rPr>
          <w:rFonts w:ascii="Tinos" w:hAnsi="Tinos" w:eastAsia="Tinos" w:cs="Tinos"/>
          <w:sz w:val="28"/>
          <w:szCs w:val="28"/>
          <w:highlight w:val="none"/>
          <w:lang w:val="ru-RU"/>
        </w:rPr>
        <w:t xml:space="preserve">, в части требований к организации </w:t>
      </w:r>
      <w:r>
        <w:rPr>
          <w:rFonts w:ascii="Tinos" w:hAnsi="Tinos" w:eastAsia="Tinos" w:cs="Tinos"/>
          <w:sz w:val="28"/>
          <w:szCs w:val="28"/>
          <w:highlight w:val="none"/>
          <w:lang w:val="ru-RU"/>
        </w:rPr>
        <w:t xml:space="preserve">рабочих мест с компьютером (ноутбуком). </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Необходимо убедиться, что параметры электрических сетей организации, на базе которой расположен ППЭ, позволяют одновременно обеспечить электропитание для планируемого количества компьютеров с установленным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станциями организатора, подключённых к ним принтеров, и техники, расположенной в Штабе ППЭ (необходимо учитывать также дополнительных потребителей электроэнергии – осветительные приборы, системы охлаждения воздуха (при наличии), </w:t>
      </w:r>
      <w:r>
        <w:rPr>
          <w:rFonts w:ascii="Tinos" w:hAnsi="Tinos" w:eastAsia="Tinos" w:cs="Tinos"/>
          <w:sz w:val="28"/>
          <w:szCs w:val="28"/>
          <w:highlight w:val="none"/>
          <w:lang w:val="ru-RU"/>
        </w:rPr>
        <w:t xml:space="preserve">рециркуляторы</w:t>
      </w:r>
      <w:r>
        <w:rPr>
          <w:rFonts w:ascii="Tinos" w:hAnsi="Tinos" w:eastAsia="Tinos" w:cs="Tinos"/>
          <w:sz w:val="28"/>
          <w:szCs w:val="28"/>
          <w:highlight w:val="none"/>
          <w:lang w:val="ru-RU"/>
        </w:rPr>
        <w:t xml:space="preserve"> и прочее).</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Для обеспечения самос</w:t>
      </w:r>
      <w:r>
        <w:rPr>
          <w:rFonts w:ascii="Tinos" w:hAnsi="Tinos" w:eastAsia="Tinos" w:cs="Tinos"/>
          <w:sz w:val="28"/>
          <w:szCs w:val="28"/>
          <w:highlight w:val="none"/>
          <w:lang w:val="ru-RU"/>
        </w:rPr>
        <w:t xml:space="preserve">тоятельного выполнения экзаменационной работы участниками экзамена допускается располагать рабочие места по периметру аудитории с посадкой спиной к центру аудитории при условии охвата всех рабочих мест участников экзамена и организаторов видеонаблюдением. </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При этом нумерацию рабочих мест можно осуществить в три ряда: все компьютеры (ноутбуки), расположенные вдоль одной стены, считать одним рядом, нумерацию мест в ряду осуществлять слева направо (стоя лицом к рассматриваемому ряду). </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Также необходимо учесть, что участники экзамена будут работать как с компьютером (ноутбуком), так и с бумажными носителями, таким образом, </w:t>
      </w:r>
      <w:r>
        <w:rPr>
          <w:rFonts w:ascii="Tinos" w:hAnsi="Tinos" w:eastAsia="Tinos" w:cs="Tinos"/>
          <w:sz w:val="28"/>
          <w:szCs w:val="28"/>
          <w:highlight w:val="none"/>
          <w:lang w:val="ru-RU"/>
        </w:rPr>
        <w:t xml:space="preserve">эргономика рабочего места должна обеспечивать комфортную работу как с ручкой и бумагой, так и с клавиатурой и мышью.</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При подготовке компьютеров (ноутбуков) для участников экзамена на них должно быть установлено не только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но и набор станд</w:t>
      </w:r>
      <w:r>
        <w:rPr>
          <w:rFonts w:ascii="Tinos" w:hAnsi="Tinos" w:eastAsia="Tinos" w:cs="Tinos"/>
          <w:sz w:val="28"/>
          <w:szCs w:val="28"/>
          <w:highlight w:val="none"/>
          <w:lang w:val="ru-RU"/>
        </w:rPr>
        <w:t xml:space="preserve">артного ПО, утвержденный приказом Министерства образования Вологодской области (далее – Министерство образования области)</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Перечень стандартного ПО должен содержать не менее одной программы каждой категории (текстовые процессоры, редакторы электронных таблиц, среды программирования), но при этом должен обеспечивать участникам экзаменов работу над экзаменационными заданиями в </w:t>
      </w:r>
      <w:r>
        <w:rPr>
          <w:rFonts w:ascii="Tinos" w:hAnsi="Tinos" w:eastAsia="Tinos" w:cs="Tinos"/>
          <w:sz w:val="28"/>
          <w:szCs w:val="28"/>
          <w:highlight w:val="none"/>
          <w:lang w:val="ru-RU"/>
        </w:rPr>
        <w:t xml:space="preserve">привычных им</w:t>
      </w:r>
      <w:r>
        <w:rPr>
          <w:rFonts w:ascii="Tinos" w:hAnsi="Tinos" w:eastAsia="Tinos" w:cs="Tinos"/>
          <w:sz w:val="28"/>
          <w:szCs w:val="28"/>
          <w:highlight w:val="none"/>
          <w:lang w:val="ru-RU"/>
        </w:rPr>
        <w:t xml:space="preserve"> программах (а также отвечать лицензионным требованиям).</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Перечень стандартного ПО должен быть доведен до сведения участников экзамена не позднее 1 марта. </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0" w:leader="none"/>
        </w:tabs>
        <w:rPr>
          <w:rFonts w:ascii="Tinos" w:hAnsi="Tinos" w:cs="Tinos"/>
          <w:highlight w:val="none"/>
        </w:rPr>
      </w:pPr>
      <w:r>
        <w:rPr>
          <w:rFonts w:ascii="Tinos" w:hAnsi="Tinos" w:eastAsia="Tinos" w:cs="Tinos"/>
          <w:sz w:val="28"/>
          <w:szCs w:val="28"/>
          <w:highlight w:val="none"/>
          <w:lang w:val="ru-RU"/>
        </w:rPr>
        <w:t xml:space="preserve">В перечне </w:t>
      </w:r>
      <w:r>
        <w:rPr>
          <w:rFonts w:ascii="Tinos" w:hAnsi="Tinos" w:eastAsia="Tinos" w:cs="Tinos"/>
          <w:sz w:val="28"/>
          <w:szCs w:val="28"/>
          <w:highlight w:val="none"/>
          <w:lang w:val="ru-RU"/>
        </w:rPr>
        <w:t xml:space="preserve">стандартного</w:t>
      </w:r>
      <w:r>
        <w:rPr>
          <w:rFonts w:ascii="Tinos" w:hAnsi="Tinos" w:eastAsia="Tinos" w:cs="Tinos"/>
          <w:sz w:val="28"/>
          <w:szCs w:val="28"/>
          <w:highlight w:val="none"/>
          <w:lang w:val="ru-RU"/>
        </w:rPr>
        <w:t xml:space="preserve"> ПО указываются конкретные программы обозначенных видов и версии этих программ. </w:t>
      </w:r>
      <w:r>
        <w:rPr>
          <w:rFonts w:ascii="Tinos" w:hAnsi="Tinos" w:cs="Tinos"/>
          <w:highlight w:val="none"/>
        </w:rPr>
      </w:r>
      <w:r>
        <w:rPr>
          <w:rFonts w:ascii="Tinos" w:hAnsi="Tinos" w:cs="Tinos"/>
          <w:highlight w:val="none"/>
        </w:rPr>
      </w:r>
    </w:p>
    <w:p>
      <w:pPr>
        <w:ind w:right="-1" w:firstLine="709"/>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Перечень </w:t>
      </w:r>
      <w:r>
        <w:rPr>
          <w:rFonts w:ascii="Tinos" w:hAnsi="Tinos" w:eastAsia="Tinos" w:cs="Tinos"/>
          <w:sz w:val="28"/>
          <w:szCs w:val="28"/>
          <w:highlight w:val="none"/>
          <w:lang w:val="ru-RU"/>
        </w:rPr>
        <w:t xml:space="preserve">стандартного</w:t>
      </w:r>
      <w:r>
        <w:rPr>
          <w:rFonts w:ascii="Tinos" w:hAnsi="Tinos" w:eastAsia="Tinos" w:cs="Tinos"/>
          <w:sz w:val="28"/>
          <w:szCs w:val="28"/>
          <w:highlight w:val="none"/>
          <w:lang w:val="ru-RU"/>
        </w:rPr>
        <w:t xml:space="preserve"> ПО в электронном формате, доступном для загрузки </w:t>
      </w:r>
      <w:r>
        <w:rPr>
          <w:rFonts w:ascii="Tinos" w:hAnsi="Tinos" w:eastAsia="Tinos" w:cs="Tinos"/>
          <w:sz w:val="28"/>
          <w:szCs w:val="28"/>
          <w:highlight w:val="none"/>
          <w:lang w:val="ru-RU"/>
        </w:rPr>
        <w:t xml:space="preserve">на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формируется в </w:t>
      </w:r>
      <w:r>
        <w:rPr>
          <w:rFonts w:ascii="Tinos" w:hAnsi="Tinos" w:eastAsia="Tinos" w:cs="Tinos"/>
          <w:sz w:val="28"/>
          <w:szCs w:val="28"/>
          <w:highlight w:val="none"/>
          <w:lang w:val="ru-RU"/>
        </w:rPr>
        <w:t xml:space="preserve">региональном центр обработки информации Вологодской области (далее – </w:t>
      </w:r>
      <w:r>
        <w:rPr>
          <w:rFonts w:ascii="Tinos" w:hAnsi="Tinos" w:eastAsia="Tinos" w:cs="Tinos"/>
          <w:sz w:val="28"/>
          <w:szCs w:val="28"/>
          <w:highlight w:val="none"/>
          <w:lang w:val="ru-RU"/>
        </w:rPr>
        <w:t xml:space="preserve">РЦОИ</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 передается в ППЭ для загрузки на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 ППЭ средствами ПО «Станция КЕГЭ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выполняется загрузка перечня стандартного ПО в электронном виде, на основе которого подготавливается перечень стандартного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установленного в ППЭ. Подготовленный перечень стандартного ПО должен строго отражать набор программ, который был установлен на </w:t>
      </w:r>
      <w:r>
        <w:rPr>
          <w:rFonts w:ascii="Tinos" w:hAnsi="Tinos" w:eastAsia="Tinos" w:cs="Tinos"/>
          <w:sz w:val="28"/>
          <w:szCs w:val="28"/>
          <w:highlight w:val="none"/>
          <w:lang w:val="ru-RU"/>
        </w:rPr>
        <w:t xml:space="preserve">рабочие места участников экзамена (наименование, версия)</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При проведении технической подготовки к КЕГЭ и для контроля технической готовности используется технический вариант КИМ КЕГЭ, содержащий набор типовых зада</w:t>
      </w:r>
      <w:r>
        <w:rPr>
          <w:rFonts w:ascii="Tinos" w:hAnsi="Tinos" w:eastAsia="Tinos" w:cs="Tinos"/>
          <w:sz w:val="28"/>
          <w:szCs w:val="28"/>
          <w:highlight w:val="none"/>
          <w:lang w:val="ru-RU"/>
        </w:rPr>
        <w:t xml:space="preserve">ний демонстрационного варианта и инструкции по проведению проверки отображения текста КИМ, работоспособности интерфейса, корректности скачивания файлов к заданиям, возможности ввода и сохранения ответов, ввода табличных значений и т.д. на каждом компьютере</w:t>
      </w:r>
      <w:r>
        <w:rPr>
          <w:rFonts w:ascii="Tinos" w:hAnsi="Tinos" w:eastAsia="Tinos" w:cs="Tinos"/>
          <w:sz w:val="28"/>
          <w:szCs w:val="28"/>
          <w:highlight w:val="none"/>
          <w:lang w:val="ru-RU"/>
        </w:rPr>
        <w:t xml:space="preserve"> (ноутбуке)</w:t>
      </w:r>
      <w:r>
        <w:rPr>
          <w:rFonts w:ascii="Tinos" w:hAnsi="Tinos" w:eastAsia="Tinos" w:cs="Tinos"/>
          <w:sz w:val="28"/>
          <w:szCs w:val="28"/>
          <w:highlight w:val="none"/>
          <w:lang w:val="ru-RU"/>
        </w:rPr>
        <w:t xml:space="preserve">, используемом для проведения экзамена.</w:t>
      </w:r>
      <w:r>
        <w:rPr>
          <w:rFonts w:ascii="Tinos" w:hAnsi="Tinos" w:eastAsia="Tinos" w:cs="Tinos"/>
          <w:sz w:val="28"/>
          <w:szCs w:val="28"/>
          <w:highlight w:val="none"/>
          <w:lang w:val="ru-RU"/>
        </w:rPr>
        <w:t xml:space="preserve"> Использование технического варианта КИМ позволит сократить время на прохождение технической подготовки и контроля технической готовности.</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Необходимо проверять настройку и работоспособность не только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но и всех установленных программ из перечня стандартного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При этом необходимо убедиться, что эти программы корректно работают </w:t>
      </w:r>
      <w:r>
        <w:rPr>
          <w:rFonts w:ascii="Tinos" w:hAnsi="Tinos" w:eastAsia="Tinos" w:cs="Tinos"/>
          <w:sz w:val="28"/>
          <w:szCs w:val="28"/>
          <w:highlight w:val="none"/>
          <w:lang w:val="ru-RU"/>
        </w:rPr>
        <w:t xml:space="preserve">при</w:t>
      </w:r>
      <w:r>
        <w:rPr>
          <w:rFonts w:ascii="Tinos" w:hAnsi="Tinos" w:eastAsia="Tinos" w:cs="Tinos"/>
          <w:sz w:val="28"/>
          <w:szCs w:val="28"/>
          <w:highlight w:val="none"/>
          <w:lang w:val="ru-RU"/>
        </w:rPr>
        <w:t xml:space="preserve"> запущенной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 связи с тем, что в ходе экзамена необходимо проводить загрузку и активацию ключ</w:t>
      </w:r>
      <w:r>
        <w:rPr>
          <w:rFonts w:ascii="Tinos" w:hAnsi="Tinos" w:eastAsia="Tinos" w:cs="Tinos"/>
          <w:sz w:val="28"/>
          <w:szCs w:val="28"/>
          <w:highlight w:val="none"/>
          <w:lang w:val="ru-RU"/>
        </w:rPr>
        <w:t xml:space="preserve">а к ЭМ на большом количестве компьютеров в ограниченное время, а также проводить другие технологические процедуры на этапах подготовки к экзамену и завершения экзамена, следует назначать в ППЭ увеличенное количество технических специалистов и членов ГЭК с </w:t>
      </w:r>
      <w:r>
        <w:rPr>
          <w:rFonts w:ascii="Tinos" w:hAnsi="Tinos" w:eastAsia="Tinos" w:cs="Tinos"/>
          <w:sz w:val="28"/>
          <w:szCs w:val="28"/>
          <w:highlight w:val="none"/>
          <w:lang w:val="ru-RU"/>
        </w:rPr>
        <w:t xml:space="preserve">токенами</w:t>
      </w:r>
      <w:r>
        <w:rPr>
          <w:rFonts w:ascii="Tinos" w:hAnsi="Tinos" w:eastAsia="Tinos" w:cs="Tinos"/>
          <w:sz w:val="28"/>
          <w:szCs w:val="28"/>
          <w:highlight w:val="none"/>
          <w:lang w:val="ru-RU"/>
        </w:rPr>
        <w:t xml:space="preserve">: 1 технический специалист и 1 член ГЭК на одну аудиторию</w:t>
      </w:r>
      <w:r>
        <w:rPr>
          <w:rFonts w:ascii="Tinos" w:hAnsi="Tinos" w:eastAsia="Tinos" w:cs="Tinos"/>
          <w:sz w:val="28"/>
          <w:szCs w:val="28"/>
          <w:highlight w:val="none"/>
          <w:lang w:val="ru-RU"/>
        </w:rPr>
        <w:t xml:space="preserve"> с 15 рабочими местами участника экзамена (или на 2 аудитории с 8 рабочими местами участников экзамена) и дополнительно 1 </w:t>
      </w:r>
      <w:r>
        <w:rPr>
          <w:rFonts w:ascii="Tinos" w:hAnsi="Tinos" w:eastAsia="Tinos" w:cs="Tinos"/>
          <w:sz w:val="28"/>
          <w:szCs w:val="28"/>
          <w:highlight w:val="none"/>
          <w:lang w:val="ru-RU"/>
        </w:rPr>
        <w:t xml:space="preserve">технический специалист и 1 член ГЭК на ППЭ на случай возникновения нештатных ситуаций.</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Для выполнения экзаменационной работы используются электронные КИМ, которые доставляются в ППЭ по сети «Интернет» в составе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 сформированного на основе сведений о распределенных по ППЭ участниках и аудиторном фонде ППЭ. Интернет-пакет содержит электронные КИМ и электронные бланки регистрации, которые загружаются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 и станции организатора во время технической подготовки ППЭ.</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Во время выполнения заданий участники экзамена работают с черновиком КЕГЭ установленной формы (приложение к настоящей Инструкции).</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КЕГЭ необходимо заранее подготовить: </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обеспечить тиражирование необходимого количества черновиков КЕГЭ; </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проставить на каждом листе черновика КЕГЭ штамп образовательной организации, на базе которой расположен ППЭ.</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КЕГЭ содержит справочную информацию о процедуре проведения КЕГЭ, а также отдельные сведения о структуре КИМ КЕГЭ.</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КЕГЭ выдается участнику вместе с бланком регистрации.</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ППЭ должно быть предусмотрено наличие черновиков. Черновики выдаются по запросу участника КЕГЭ.</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экзамена данные, содержащие ответы участников экзамена, переносятся на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сохранения ответов участников КЕГЭ с дальнейшим формированием на этом носителе зашифрованного пакета с ответами участников КЕГЭ для их передачи в РЦОИ. Количество </w:t>
      </w:r>
      <w:r>
        <w:rPr>
          <w:rFonts w:ascii="Tinos" w:hAnsi="Tinos" w:eastAsia="Tinos" w:cs="Tinos"/>
          <w:sz w:val="28"/>
          <w:szCs w:val="28"/>
          <w:highlight w:val="none"/>
          <w:lang w:val="ru-RU"/>
        </w:rPr>
        <w:t xml:space="preserve">флеш-накопителей</w:t>
      </w:r>
      <w:r>
        <w:rPr>
          <w:rFonts w:ascii="Tinos" w:hAnsi="Tinos" w:eastAsia="Tinos" w:cs="Tinos"/>
          <w:sz w:val="28"/>
          <w:szCs w:val="28"/>
          <w:highlight w:val="none"/>
          <w:lang w:val="ru-RU"/>
        </w:rPr>
        <w:t xml:space="preserve"> определяется в соответствии с выбранной схемой сохранения ответов участников экзамена:</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1) сохранение ответов с дальнейшим формированием пакета с ответами участников КЕГЭ для каждой аудитории. В этом случае для каждой аудитории (каждого пакета) нужен свой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2) сохранение всех ответов и формирование единого пакета с ответами участников КЕГЭ всего ППЭ, в этом случае нужен один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содержащий все ответы участников экзамена, чтобы после сбора данных с ответами со всех станций КЕГЭ сформировать пакет;</w:t>
      </w:r>
      <w:r>
        <w:rPr>
          <w:rFonts w:ascii="Tinos" w:hAnsi="Tinos" w:cs="Tinos"/>
          <w:sz w:val="28"/>
          <w:szCs w:val="28"/>
          <w:highlight w:val="none"/>
        </w:rPr>
      </w:r>
      <w:r>
        <w:rPr>
          <w:rFonts w:ascii="Tinos" w:hAnsi="Tinos" w:cs="Tinos"/>
          <w:sz w:val="28"/>
          <w:szCs w:val="28"/>
          <w:highlight w:val="none"/>
        </w:rPr>
      </w:r>
    </w:p>
    <w:p>
      <w:pPr>
        <w:ind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3) сохранение ответов и формирование пакетов для нескольких аудиторий (при этом необходимо учитывать, что ответы из одной аудитории не должны быть сохранены на разных </w:t>
      </w:r>
      <w:r>
        <w:rPr>
          <w:rFonts w:ascii="Tinos" w:hAnsi="Tinos" w:eastAsia="Tinos" w:cs="Tinos"/>
          <w:sz w:val="28"/>
          <w:szCs w:val="28"/>
          <w:highlight w:val="none"/>
          <w:lang w:val="ru-RU"/>
        </w:rPr>
        <w:t xml:space="preserve">флеш-накопителях</w:t>
      </w:r>
      <w:r>
        <w:rPr>
          <w:rFonts w:ascii="Tinos" w:hAnsi="Tinos" w:eastAsia="Tinos" w:cs="Tinos"/>
          <w:sz w:val="28"/>
          <w:szCs w:val="28"/>
          <w:highlight w:val="none"/>
          <w:lang w:val="ru-RU"/>
        </w:rPr>
        <w:t xml:space="preserve">), в этом случае необходимо соблюдать общий принцип: количество </w:t>
      </w:r>
      <w:r>
        <w:rPr>
          <w:rFonts w:ascii="Tinos" w:hAnsi="Tinos" w:eastAsia="Tinos" w:cs="Tinos"/>
          <w:sz w:val="28"/>
          <w:szCs w:val="28"/>
          <w:highlight w:val="none"/>
          <w:lang w:val="ru-RU"/>
        </w:rPr>
        <w:t xml:space="preserve">флеш-накопителей</w:t>
      </w:r>
      <w:r>
        <w:rPr>
          <w:rFonts w:ascii="Tinos" w:hAnsi="Tinos" w:eastAsia="Tinos" w:cs="Tinos"/>
          <w:sz w:val="28"/>
          <w:szCs w:val="28"/>
          <w:highlight w:val="none"/>
          <w:lang w:val="ru-RU"/>
        </w:rPr>
        <w:t xml:space="preserve"> соответствует количеству пакетов.</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В ППЭ, для которых допускается «бумажная» технология при проведении ЕГЭ по другим учебным предметам, при проведении ЕГЭ по </w:t>
      </w:r>
      <w:r>
        <w:rPr>
          <w:rFonts w:ascii="Tinos" w:hAnsi="Tinos" w:eastAsia="Tinos" w:cs="Tinos"/>
          <w:sz w:val="28"/>
          <w:szCs w:val="28"/>
          <w:highlight w:val="none"/>
          <w:lang w:val="ru-RU"/>
        </w:rPr>
        <w:t xml:space="preserve">информатике</w:t>
      </w:r>
      <w:r>
        <w:rPr>
          <w:rFonts w:ascii="Tinos" w:hAnsi="Tinos" w:eastAsia="Tinos" w:cs="Tinos"/>
          <w:sz w:val="28"/>
          <w:szCs w:val="28"/>
          <w:highlight w:val="none"/>
          <w:lang w:val="ru-RU"/>
        </w:rPr>
        <w:t xml:space="preserve"> допустимо использовать один компьютер для станции организатора и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numPr>
          <w:ilvl w:val="1"/>
          <w:numId w:val="1"/>
        </w:numPr>
        <w:ind w:left="0" w:right="-1" w:firstLine="683"/>
        <w:spacing w:before="0" w:beforeAutospacing="0" w:after="0" w:afterAutospacing="0" w:line="240" w:lineRule="auto"/>
        <w:tabs>
          <w:tab w:val="left" w:pos="0" w:leader="none"/>
        </w:tabs>
        <w:rPr>
          <w:rFonts w:ascii="Tinos" w:hAnsi="Tinos" w:cs="Tinos"/>
          <w:sz w:val="28"/>
          <w:szCs w:val="28"/>
          <w:highlight w:val="none"/>
        </w:rPr>
      </w:pPr>
      <w:r>
        <w:rPr>
          <w:rFonts w:ascii="Tinos" w:hAnsi="Tinos" w:eastAsia="Tinos" w:cs="Tinos"/>
          <w:sz w:val="28"/>
          <w:szCs w:val="28"/>
          <w:highlight w:val="none"/>
          <w:lang w:val="ru-RU"/>
        </w:rPr>
        <w:t xml:space="preserve">После п</w:t>
      </w:r>
      <w:r>
        <w:rPr>
          <w:rFonts w:ascii="Tinos" w:hAnsi="Tinos" w:eastAsia="Tinos" w:cs="Tinos"/>
          <w:sz w:val="28"/>
          <w:szCs w:val="28"/>
          <w:highlight w:val="none"/>
          <w:lang w:val="ru-RU"/>
        </w:rPr>
        <w:t xml:space="preserve">роведения экзамена, сбора и передачи данных с ответами участников экзамена все файлы, созданные или измененные участниками экзамена на компьютерах, где проводился экзамен, должны быть безвозвратно удалены. Рекомендуется переустановка сред программирования.</w:t>
      </w:r>
      <w:r>
        <w:rPr>
          <w:rFonts w:ascii="Tinos" w:hAnsi="Tinos" w:cs="Tinos"/>
          <w:sz w:val="28"/>
          <w:szCs w:val="28"/>
          <w:highlight w:val="none"/>
        </w:rPr>
      </w:r>
      <w:r>
        <w:rPr>
          <w:rFonts w:ascii="Tinos" w:hAnsi="Tinos" w:cs="Tinos"/>
          <w:sz w:val="28"/>
          <w:szCs w:val="28"/>
          <w:highlight w:val="none"/>
        </w:rPr>
      </w:r>
    </w:p>
    <w:p>
      <w:pPr>
        <w:ind w:right="0" w:firstLine="0"/>
        <w:jc w:val="left"/>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r>
      <w:r>
        <w:rPr>
          <w:rFonts w:ascii="Tinos" w:hAnsi="Tinos" w:cs="Tinos"/>
          <w:sz w:val="28"/>
          <w:szCs w:val="28"/>
          <w:highlight w:val="none"/>
        </w:rPr>
      </w:r>
      <w:r>
        <w:rPr>
          <w:rFonts w:ascii="Tinos" w:hAnsi="Tinos" w:cs="Tinos"/>
          <w:sz w:val="28"/>
          <w:szCs w:val="28"/>
          <w:highlight w:val="none"/>
        </w:rPr>
      </w:r>
    </w:p>
    <w:p>
      <w:pPr>
        <w:numPr>
          <w:ilvl w:val="0"/>
          <w:numId w:val="1"/>
        </w:numPr>
        <w:ind w:left="0"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Инструкция</w:t>
      </w:r>
      <w:r>
        <w:rPr>
          <w:rFonts w:ascii="Tinos" w:hAnsi="Tinos" w:eastAsia="Tinos" w:cs="Tinos"/>
          <w:sz w:val="28"/>
          <w:szCs w:val="28"/>
          <w:highlight w:val="none"/>
        </w:rPr>
        <w:t xml:space="preserve"> </w:t>
      </w:r>
      <w:r>
        <w:rPr>
          <w:rFonts w:ascii="Tinos" w:hAnsi="Tinos" w:eastAsia="Tinos" w:cs="Tinos"/>
          <w:sz w:val="28"/>
          <w:szCs w:val="28"/>
          <w:highlight w:val="none"/>
        </w:rPr>
        <w:t xml:space="preserve">для</w:t>
      </w:r>
      <w:r>
        <w:rPr>
          <w:rFonts w:ascii="Tinos" w:hAnsi="Tinos" w:eastAsia="Tinos" w:cs="Tinos"/>
          <w:sz w:val="28"/>
          <w:szCs w:val="28"/>
          <w:highlight w:val="none"/>
        </w:rPr>
        <w:t xml:space="preserve"> </w:t>
      </w:r>
      <w:r>
        <w:rPr>
          <w:rFonts w:ascii="Tinos" w:hAnsi="Tinos" w:eastAsia="Tinos" w:cs="Tinos"/>
          <w:sz w:val="28"/>
          <w:szCs w:val="28"/>
          <w:highlight w:val="none"/>
        </w:rPr>
        <w:t xml:space="preserve">технического</w:t>
      </w:r>
      <w:r>
        <w:rPr>
          <w:rFonts w:ascii="Tinos" w:hAnsi="Tinos" w:eastAsia="Tinos" w:cs="Tinos"/>
          <w:sz w:val="28"/>
          <w:szCs w:val="28"/>
          <w:highlight w:val="none"/>
        </w:rPr>
        <w:t xml:space="preserve"> </w:t>
      </w:r>
      <w:r>
        <w:rPr>
          <w:rFonts w:ascii="Tinos" w:hAnsi="Tinos" w:eastAsia="Tinos" w:cs="Tinos"/>
          <w:sz w:val="28"/>
          <w:szCs w:val="28"/>
          <w:highlight w:val="none"/>
        </w:rPr>
        <w:t xml:space="preserve">специалиста</w:t>
      </w:r>
      <w:r>
        <w:rPr>
          <w:rStyle w:val="1000"/>
          <w:rFonts w:ascii="Tinos" w:hAnsi="Tinos" w:eastAsia="Tinos" w:cs="Tinos"/>
          <w:sz w:val="28"/>
          <w:szCs w:val="28"/>
          <w:highlight w:val="none"/>
        </w:rPr>
        <w:footnoteReference w:id="2"/>
      </w:r>
      <w:r>
        <w:rPr>
          <w:rFonts w:ascii="Tinos" w:hAnsi="Tinos" w:cs="Tinos"/>
          <w:sz w:val="28"/>
          <w:szCs w:val="28"/>
          <w:highlight w:val="none"/>
        </w:rPr>
      </w:r>
      <w:r>
        <w:rPr>
          <w:rFonts w:ascii="Tinos" w:hAnsi="Tinos" w:cs="Tinos"/>
          <w:sz w:val="28"/>
          <w:szCs w:val="28"/>
          <w:highlight w:val="none"/>
        </w:rPr>
      </w:r>
    </w:p>
    <w:p>
      <w:pPr>
        <w:ind w:left="708" w:right="0" w:firstLine="0"/>
        <w:jc w:val="left"/>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Настоящая инструкция содержит в себе только особенности по подготовке и проведению КЕГЭ. Основная (полная) инструкция </w:t>
      </w:r>
      <w:r>
        <w:rPr>
          <w:rFonts w:ascii="Tinos" w:hAnsi="Tinos" w:eastAsia="Tinos" w:cs="Tinos"/>
          <w:sz w:val="28"/>
          <w:szCs w:val="28"/>
          <w:highlight w:val="none"/>
          <w:lang w:val="ru-RU"/>
        </w:rPr>
        <w:t xml:space="preserve">технического специалиста представлена в приложении 4 к настоящему приказу.</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Подготовительный этап проведения КЕГЭ.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2 недели до начала экзаменационного периода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(до проведения проверки готовности ППЭ членом ГЭК) технический специалист должен обеспечить </w:t>
      </w:r>
      <w:r>
        <w:rPr>
          <w:rFonts w:ascii="Tinos" w:hAnsi="Tinos" w:eastAsia="Tinos" w:cs="Tinos"/>
          <w:sz w:val="28"/>
          <w:szCs w:val="28"/>
          <w:highlight w:val="none"/>
          <w:lang w:val="ru-RU"/>
        </w:rPr>
        <w:t xml:space="preserve">подготовку ППЭ для обеспечения процедуры доставки (скачивания) ЭМ по сети «Интернет» (если указанная процедура не была выполнена в рамках подготовки ППЭ ранее)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из РЦОИ реквизиты доступа в личный кабинет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highlight w:val="none"/>
        </w:rPr>
      </w:pPr>
      <w:r>
        <w:rPr>
          <w:rFonts w:ascii="Tinos" w:hAnsi="Tinos" w:eastAsia="Tinos" w:cs="Tinos"/>
          <w:sz w:val="28"/>
          <w:szCs w:val="28"/>
          <w:highlight w:val="none"/>
          <w:lang w:val="ru-RU"/>
        </w:rPr>
        <w:t xml:space="preserve">проверить </w:t>
      </w:r>
      <w:r>
        <w:rPr>
          <w:rFonts w:ascii="Tinos" w:hAnsi="Tinos" w:eastAsia="Tinos" w:cs="Tinos"/>
          <w:sz w:val="28"/>
          <w:szCs w:val="28"/>
          <w:highlight w:val="none"/>
          <w:lang w:val="ru-RU"/>
        </w:rPr>
        <w:t xml:space="preserve">соответствие технических характеристик компьютеров (ноутбуков) в Штабе ППЭ, предназначенных </w:t>
      </w:r>
      <w:r>
        <w:rPr>
          <w:rFonts w:ascii="Tinos" w:hAnsi="Tinos" w:eastAsia="Tinos" w:cs="Tinos"/>
          <w:sz w:val="28"/>
          <w:szCs w:val="28"/>
          <w:highlight w:val="none"/>
          <w:lang w:val="ru-RU"/>
        </w:rPr>
        <w:t xml:space="preserve">для работы с личным кабинетом ППЭ, предъявляемым требованиям</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пункт 7</w:t>
      </w:r>
      <w:r>
        <w:rPr>
          <w:rFonts w:ascii="Tinos" w:hAnsi="Tinos" w:eastAsia="Tinos" w:cs="Tinos"/>
          <w:sz w:val="28"/>
          <w:szCs w:val="28"/>
          <w:highlight w:val="none"/>
          <w:lang w:val="ru-RU"/>
        </w:rPr>
        <w:t xml:space="preserve"> настоящей Инструкции) (основного и резервного); </w:t>
      </w:r>
      <w:r>
        <w:rPr>
          <w:rFonts w:ascii="Tinos" w:hAnsi="Tinos" w:cs="Tinos"/>
          <w:highlight w:val="none"/>
        </w:rPr>
      </w:r>
      <w:r>
        <w:rPr>
          <w:rFonts w:ascii="Tinos" w:hAnsi="Tinos" w:cs="Tinos"/>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установить в браузере  на компьютерах (ноутбуках), предназначенных для работы с личным кабинетом ППЭ, </w:t>
      </w:r>
      <w:r>
        <w:rPr>
          <w:rFonts w:ascii="Tinos" w:hAnsi="Tinos" w:eastAsia="Tinos" w:cs="Tinos"/>
          <w:sz w:val="28"/>
          <w:szCs w:val="28"/>
          <w:highlight w:val="none"/>
          <w:lang w:val="ru-RU"/>
        </w:rPr>
        <w:t xml:space="preserve">криптосредства</w:t>
      </w:r>
      <w:r>
        <w:rPr>
          <w:rFonts w:ascii="Tinos" w:hAnsi="Tinos" w:eastAsia="Tinos" w:cs="Tinos"/>
          <w:sz w:val="28"/>
          <w:szCs w:val="28"/>
          <w:highlight w:val="none"/>
          <w:lang w:val="ru-RU"/>
        </w:rPr>
        <w:t xml:space="preserve"> для работы с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Личный кабинет ППЭ обеспечивает функции взаимодействия со специализированным федеральным порталом в части получения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авторизации членов ГЭК, передачи электронных актов технической готовности и журналов работы станции, получения ключей доступа к ЭМ, получения от ППЭ и передачи в РЦОИ пакетов с электронными образами бланков и форм ППЭ, пакетов с ответами участников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Доступ к личному кабинету ППЭ, в том числе в ЗСПД ГИА, может быть обеспечен с любого компьютера (ноутбука), установленного в Штабе ППЭ и имеющего доступ в сеть «Интернет», технический специалист имеет доступ к </w:t>
      </w:r>
      <w:r>
        <w:rPr>
          <w:rFonts w:ascii="Tinos" w:hAnsi="Tinos" w:eastAsia="Tinos" w:cs="Tinos"/>
          <w:sz w:val="28"/>
          <w:szCs w:val="28"/>
          <w:highlight w:val="none"/>
          <w:lang w:val="ru-RU"/>
        </w:rPr>
        <w:t xml:space="preserve">личным кабинетам всех ППЭ, в которых имеет назначение на экзамен в конкретную дату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компьютерах (ноутбуках), предназначенных для доступа в личный кабинет ППЭ: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а) проверить наличие соединения с личным кабинетом ППЭ по основному и резервному каналам доступа в сеть «Интернет»;</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б) в случае использования ЗСПД ГИА: проверить наличие связи через </w:t>
      </w:r>
      <w:r>
        <w:rPr>
          <w:rFonts w:ascii="Tinos" w:hAnsi="Tinos" w:eastAsia="Tinos" w:cs="Tinos"/>
          <w:sz w:val="28"/>
          <w:szCs w:val="28"/>
          <w:highlight w:val="none"/>
          <w:lang w:val="ru-RU"/>
        </w:rPr>
        <w:t xml:space="preserve">VipNet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Client</w:t>
      </w:r>
      <w:r>
        <w:rPr>
          <w:rFonts w:ascii="Tinos" w:hAnsi="Tinos" w:eastAsia="Tinos" w:cs="Tinos"/>
          <w:sz w:val="28"/>
          <w:szCs w:val="28"/>
          <w:highlight w:val="none"/>
          <w:lang w:val="ru-RU"/>
        </w:rPr>
        <w:t xml:space="preserve"> с ЗСПД ГИА по основному и резервному каналам связи сети «Интернет»;</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highlight w:val="none"/>
        </w:rPr>
      </w:pPr>
      <w:r>
        <w:rPr>
          <w:rFonts w:ascii="Tinos" w:hAnsi="Tinos" w:eastAsia="Tinos" w:cs="Tinos"/>
          <w:sz w:val="28"/>
          <w:szCs w:val="28"/>
          <w:highlight w:val="none"/>
          <w:lang w:val="ru-RU"/>
        </w:rPr>
        <w:t xml:space="preserve">указать тип основного и резервного каналов доступа в сеть «Интернет» (либо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зафиксировать отсутствие резервного канала доступа в сеть «Интернет»</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w:t>
      </w:r>
      <w:r>
        <w:rPr>
          <w:rFonts w:ascii="Tinos" w:hAnsi="Tinos" w:cs="Tinos"/>
          <w:highlight w:val="none"/>
        </w:rPr>
      </w:r>
      <w:r>
        <w:rPr>
          <w:rFonts w:ascii="Tinos" w:hAnsi="Tinos" w:cs="Tinos"/>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highlight w:val="none"/>
        </w:rPr>
      </w:pPr>
      <w:r>
        <w:rPr>
          <w:rFonts w:ascii="Tinos" w:hAnsi="Tinos" w:eastAsia="Tinos" w:cs="Tinos"/>
          <w:sz w:val="28"/>
          <w:szCs w:val="28"/>
          <w:highlight w:val="none"/>
          <w:lang w:val="ru-RU"/>
        </w:rPr>
        <w:t xml:space="preserve">в рамках проверки готовности ППЭ предложить члену ГЭК выполнить авторизацию с помощью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по результатам авторизации убедиться в </w:t>
      </w:r>
      <w:r>
        <w:rPr>
          <w:rFonts w:ascii="Tinos" w:hAnsi="Tinos" w:eastAsia="Tinos" w:cs="Tinos"/>
          <w:sz w:val="28"/>
          <w:szCs w:val="28"/>
          <w:highlight w:val="none"/>
          <w:lang w:val="ru-RU"/>
        </w:rPr>
        <w:t xml:space="preserve">работоспособности </w:t>
      </w:r>
      <w:r>
        <w:rPr>
          <w:rFonts w:ascii="Tinos" w:hAnsi="Tinos" w:eastAsia="Tinos" w:cs="Tinos"/>
          <w:sz w:val="28"/>
          <w:szCs w:val="28"/>
          <w:highlight w:val="none"/>
          <w:lang w:val="ru-RU"/>
        </w:rPr>
        <w:t xml:space="preserve">криптосредств</w:t>
      </w:r>
      <w:r>
        <w:rPr>
          <w:rFonts w:ascii="Tinos" w:hAnsi="Tinos" w:eastAsia="Tinos" w:cs="Tinos"/>
          <w:sz w:val="28"/>
          <w:szCs w:val="28"/>
          <w:highlight w:val="none"/>
          <w:lang w:val="ru-RU"/>
        </w:rPr>
        <w:t xml:space="preserve">;</w:t>
      </w:r>
      <w:r>
        <w:rPr>
          <w:rFonts w:ascii="Tinos" w:hAnsi="Tinos" w:cs="Tinos"/>
          <w:highlight w:val="none"/>
        </w:rPr>
      </w:r>
      <w:r>
        <w:rPr>
          <w:rFonts w:ascii="Tinos" w:hAnsi="Tinos" w:cs="Tinos"/>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highlight w:val="none"/>
        </w:rPr>
      </w:pPr>
      <w:r>
        <w:rPr>
          <w:rFonts w:ascii="Tinos" w:hAnsi="Tinos" w:eastAsia="Tinos" w:cs="Tinos"/>
          <w:sz w:val="28"/>
          <w:szCs w:val="28"/>
          <w:highlight w:val="none"/>
          <w:lang w:val="ru-RU"/>
        </w:rPr>
        <w:t xml:space="preserve">обеспечить получение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в личном кабинете ППЭ скачать доступный интернет-пакет; полученный интернет-пакет сохранить на основной и резервный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передать основной и резервный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руководителю ППЭ на хранение в сейфе в Штабе ППЭ.</w:t>
      </w:r>
      <w:r>
        <w:rPr>
          <w:rFonts w:ascii="Tinos" w:hAnsi="Tinos" w:eastAsia="Tinos" w:cs="Tinos"/>
          <w:sz w:val="28"/>
          <w:szCs w:val="28"/>
          <w:highlight w:val="none"/>
          <w:lang w:val="ru-RU"/>
        </w:rPr>
        <w:t xml:space="preserve"> Хранение осуществляется с использованием мер информационной безопасности.</w:t>
      </w:r>
      <w:r>
        <w:rPr>
          <w:rFonts w:ascii="Tinos" w:hAnsi="Tinos" w:cs="Tinos"/>
          <w:highlight w:val="none"/>
        </w:rPr>
      </w:r>
      <w:r>
        <w:rPr>
          <w:rFonts w:ascii="Tinos" w:hAnsi="Tinos" w:cs="Tinos"/>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Интернет-пакеты</w:t>
      </w:r>
      <w:r>
        <w:rPr>
          <w:rFonts w:ascii="Tinos" w:hAnsi="Tinos" w:eastAsia="Tinos" w:cs="Tinos"/>
          <w:sz w:val="28"/>
          <w:szCs w:val="28"/>
          <w:highlight w:val="none"/>
          <w:lang w:val="ru-RU"/>
        </w:rPr>
        <w:t xml:space="preserve"> становятся доступны за 5 рабочих дней до даты экзамена – для основных дней экзаменационного периода, за 3 рабочих дня – для резервных дней экзаменационного периода и формируются на основе сведений о распределённых по ППЭ участниках и аудиторном фонде ППЭ.</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скачивания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 (пакетов) на новую дату и предмет: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руководителя</w:t>
      </w:r>
      <w:r>
        <w:rPr>
          <w:rFonts w:ascii="Tinos" w:hAnsi="Tinos" w:eastAsia="Tinos" w:cs="Tinos"/>
          <w:sz w:val="28"/>
          <w:szCs w:val="28"/>
          <w:highlight w:val="none"/>
          <w:lang w:val="ru-RU"/>
        </w:rPr>
        <w:t xml:space="preserve"> ППЭ </w:t>
      </w:r>
      <w:r>
        <w:rPr>
          <w:rFonts w:ascii="Tinos" w:hAnsi="Tinos" w:eastAsia="Tinos" w:cs="Tinos"/>
          <w:sz w:val="28"/>
          <w:szCs w:val="28"/>
          <w:highlight w:val="none"/>
          <w:lang w:val="ru-RU"/>
        </w:rPr>
        <w:t xml:space="preserve">основной</w:t>
      </w:r>
      <w:r>
        <w:rPr>
          <w:rFonts w:ascii="Tinos" w:hAnsi="Tinos" w:eastAsia="Tinos" w:cs="Tinos"/>
          <w:sz w:val="28"/>
          <w:szCs w:val="28"/>
          <w:highlight w:val="none"/>
          <w:lang w:val="ru-RU"/>
        </w:rPr>
        <w:t xml:space="preserve"> и резервный </w:t>
      </w:r>
      <w:r>
        <w:rPr>
          <w:rFonts w:ascii="Tinos" w:hAnsi="Tinos" w:eastAsia="Tinos" w:cs="Tinos"/>
          <w:sz w:val="28"/>
          <w:szCs w:val="28"/>
          <w:highlight w:val="none"/>
          <w:lang w:val="ru-RU"/>
        </w:rPr>
        <w:t xml:space="preserve">флеш-</w:t>
      </w:r>
      <w:r>
        <w:rPr>
          <w:rFonts w:ascii="Tinos" w:hAnsi="Tinos" w:eastAsia="Tinos" w:cs="Tinos"/>
          <w:sz w:val="28"/>
          <w:szCs w:val="28"/>
          <w:highlight w:val="none"/>
          <w:lang w:val="ru-RU"/>
        </w:rPr>
        <w:t xml:space="preserve">накопители</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сохранить новые </w:t>
      </w:r>
      <w:r>
        <w:rPr>
          <w:rFonts w:ascii="Tinos" w:hAnsi="Tinos" w:eastAsia="Tinos" w:cs="Tinos"/>
          <w:sz w:val="28"/>
          <w:szCs w:val="28"/>
          <w:highlight w:val="none"/>
          <w:lang w:val="ru-RU"/>
        </w:rPr>
        <w:t xml:space="preserve">интернет-пакеты</w:t>
      </w:r>
      <w:r>
        <w:rPr>
          <w:rFonts w:ascii="Tinos" w:hAnsi="Tinos" w:eastAsia="Tinos" w:cs="Tinos"/>
          <w:sz w:val="28"/>
          <w:szCs w:val="28"/>
          <w:highlight w:val="none"/>
          <w:lang w:val="ru-RU"/>
        </w:rPr>
        <w:t xml:space="preserve"> на </w:t>
      </w:r>
      <w:r>
        <w:rPr>
          <w:rFonts w:ascii="Tinos" w:hAnsi="Tinos" w:eastAsia="Tinos" w:cs="Tinos"/>
          <w:sz w:val="28"/>
          <w:szCs w:val="28"/>
          <w:highlight w:val="none"/>
          <w:lang w:val="ru-RU"/>
        </w:rPr>
        <w:t xml:space="preserve">основной</w:t>
      </w:r>
      <w:r>
        <w:rPr>
          <w:rFonts w:ascii="Tinos" w:hAnsi="Tinos" w:eastAsia="Tinos" w:cs="Tinos"/>
          <w:sz w:val="28"/>
          <w:szCs w:val="28"/>
          <w:highlight w:val="none"/>
          <w:lang w:val="ru-RU"/>
        </w:rPr>
        <w:t xml:space="preserve"> и резервный </w:t>
      </w:r>
      <w:r>
        <w:rPr>
          <w:rFonts w:ascii="Tinos" w:hAnsi="Tinos" w:eastAsia="Tinos" w:cs="Tinos"/>
          <w:sz w:val="28"/>
          <w:szCs w:val="28"/>
          <w:highlight w:val="none"/>
          <w:lang w:val="ru-RU"/>
        </w:rPr>
        <w:t xml:space="preserve">флеш-</w:t>
      </w:r>
      <w:r>
        <w:rPr>
          <w:rFonts w:ascii="Tinos" w:hAnsi="Tinos" w:eastAsia="Tinos" w:cs="Tinos"/>
          <w:sz w:val="28"/>
          <w:szCs w:val="28"/>
          <w:highlight w:val="none"/>
          <w:lang w:val="ru-RU"/>
        </w:rPr>
        <w:t xml:space="preserve">н</w:t>
      </w:r>
      <w:r>
        <w:rPr>
          <w:rFonts w:ascii="Tinos" w:hAnsi="Tinos" w:eastAsia="Tinos" w:cs="Tinos"/>
          <w:sz w:val="28"/>
          <w:szCs w:val="28"/>
          <w:highlight w:val="none"/>
          <w:lang w:val="ru-RU"/>
        </w:rPr>
        <w:t xml:space="preserve">акопители</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передать </w:t>
      </w:r>
      <w:r>
        <w:rPr>
          <w:rFonts w:ascii="Tinos" w:hAnsi="Tinos" w:eastAsia="Tinos" w:cs="Tinos"/>
          <w:sz w:val="28"/>
          <w:szCs w:val="28"/>
          <w:highlight w:val="none"/>
          <w:lang w:val="ru-RU"/>
        </w:rPr>
        <w:t xml:space="preserve">основной</w:t>
      </w:r>
      <w:r>
        <w:rPr>
          <w:rFonts w:ascii="Tinos" w:hAnsi="Tinos" w:eastAsia="Tinos" w:cs="Tinos"/>
          <w:sz w:val="28"/>
          <w:szCs w:val="28"/>
          <w:highlight w:val="none"/>
          <w:lang w:val="ru-RU"/>
        </w:rPr>
        <w:t xml:space="preserve"> и резервный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руководителю ППЭ на хранение в сейфе Штаба ППЭ.</w:t>
      </w:r>
      <w:r>
        <w:rPr>
          <w:rFonts w:ascii="Tinos" w:hAnsi="Tinos" w:cs="Tinos"/>
          <w:sz w:val="28"/>
          <w:szCs w:val="28"/>
          <w:highlight w:val="none"/>
        </w:rPr>
      </w:r>
      <w:r>
        <w:rPr>
          <w:rFonts w:ascii="Tinos" w:hAnsi="Tinos" w:cs="Tinos"/>
          <w:sz w:val="28"/>
          <w:szCs w:val="28"/>
          <w:highlight w:val="none"/>
        </w:rPr>
      </w:r>
    </w:p>
    <w:p>
      <w:pPr>
        <w:ind w:right="-1" w:firstLine="720"/>
        <w:spacing w:before="0" w:beforeAutospacing="0" w:after="0" w:afterAutospacing="0" w:line="240" w:lineRule="auto"/>
        <w:rPr>
          <w:rFonts w:ascii="Tinos" w:hAnsi="Tinos" w:cs="Tinos"/>
          <w:highlight w:val="none"/>
        </w:rPr>
      </w:pPr>
      <w:r>
        <w:rPr>
          <w:rFonts w:ascii="Tinos" w:hAnsi="Tinos" w:eastAsia="Tinos" w:cs="Tinos"/>
          <w:sz w:val="28"/>
          <w:szCs w:val="28"/>
          <w:highlight w:val="none"/>
          <w:lang w:val="ru-RU"/>
        </w:rPr>
        <w:t xml:space="preserve">Интернет-пакеты</w:t>
      </w:r>
      <w:r>
        <w:rPr>
          <w:rFonts w:ascii="Tinos" w:hAnsi="Tinos" w:eastAsia="Tinos" w:cs="Tinos"/>
          <w:sz w:val="28"/>
          <w:szCs w:val="28"/>
          <w:highlight w:val="none"/>
          <w:lang w:val="ru-RU"/>
        </w:rPr>
        <w:t xml:space="preserve"> на каждую дату и предмет экзамена должны быть скачаны до начала технической подготовки к соответствующему экзамену.</w:t>
      </w:r>
      <w:r>
        <w:rPr>
          <w:rFonts w:ascii="Tinos" w:hAnsi="Tinos" w:cs="Tinos"/>
          <w:highlight w:val="none"/>
        </w:rPr>
      </w:r>
      <w:r>
        <w:rPr>
          <w:rFonts w:ascii="Tinos" w:hAnsi="Tinos" w:cs="Tinos"/>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2 недели до КЕГЭ технический специалист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из РЦОИ перечень стандартного ПО, предоставляемого </w:t>
      </w:r>
      <w:r>
        <w:rPr>
          <w:rFonts w:ascii="Tinos" w:hAnsi="Tinos" w:eastAsia="Tinos" w:cs="Tinos"/>
          <w:sz w:val="28"/>
          <w:szCs w:val="28"/>
          <w:highlight w:val="none"/>
          <w:lang w:val="ru-RU"/>
        </w:rPr>
        <w:t xml:space="preserve">участнику КЕГЭ</w:t>
      </w:r>
      <w:r>
        <w:rPr>
          <w:rFonts w:ascii="Tinos" w:hAnsi="Tinos" w:eastAsia="Tinos" w:cs="Tinos"/>
          <w:sz w:val="28"/>
          <w:szCs w:val="28"/>
          <w:highlight w:val="none"/>
          <w:lang w:val="ru-RU"/>
        </w:rPr>
        <w:t xml:space="preserve"> во время экзамена, определенный Министерством образования области, и дистрибутивы этого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соответствие технических характеристик компьютеров (ноутбуков), на которые будут установлены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предъявляемым требованиям для установки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а также минимальным требованиям, обеспечивающим стабильную работу версий стандартного ПО, предоставляемого участнику КЕГЭ, включенных в перечень, определенный Министерством образования области;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установить (начать установку) на компьютеры (ноутбуки), предназначенные для использования в качестве станций КЕГЭ, стандартное ПО, предоставляемое </w:t>
      </w:r>
      <w:r>
        <w:rPr>
          <w:rFonts w:ascii="Tinos" w:hAnsi="Tinos" w:eastAsia="Tinos" w:cs="Tinos"/>
          <w:sz w:val="28"/>
          <w:szCs w:val="28"/>
          <w:highlight w:val="none"/>
          <w:lang w:val="ru-RU"/>
        </w:rPr>
        <w:t xml:space="preserve">участнику </w:t>
      </w:r>
      <w:r>
        <w:rPr>
          <w:rFonts w:ascii="Tinos" w:hAnsi="Tinos" w:eastAsia="Tinos" w:cs="Tinos"/>
          <w:sz w:val="28"/>
          <w:szCs w:val="28"/>
          <w:highlight w:val="none"/>
          <w:lang w:val="ru-RU"/>
        </w:rPr>
        <w:t xml:space="preserve">КЕГЭ</w:t>
      </w:r>
      <w:r>
        <w:rPr>
          <w:rFonts w:ascii="Tinos" w:hAnsi="Tinos" w:eastAsia="Tinos" w:cs="Tinos"/>
          <w:sz w:val="28"/>
          <w:szCs w:val="28"/>
          <w:highlight w:val="none"/>
          <w:lang w:val="ru-RU"/>
        </w:rPr>
        <w:t xml:space="preserve"> во время экзамена в соответствии </w:t>
      </w:r>
      <w:r>
        <w:rPr>
          <w:rFonts w:ascii="Tinos" w:hAnsi="Tinos" w:eastAsia="Tinos" w:cs="Tinos"/>
          <w:sz w:val="28"/>
          <w:szCs w:val="28"/>
          <w:highlight w:val="none"/>
          <w:lang w:val="ru-RU"/>
        </w:rPr>
        <w:t xml:space="preserve">с перечнем, полученным из РЦОИ</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Участникам КЕГЭ разрешается использовать программу </w:t>
      </w:r>
      <w:r>
        <w:rPr>
          <w:rFonts w:ascii="Tinos" w:hAnsi="Tinos" w:eastAsia="Tinos" w:cs="Tinos"/>
          <w:sz w:val="28"/>
          <w:szCs w:val="28"/>
          <w:highlight w:val="none"/>
          <w:lang w:val="ru-RU"/>
        </w:rPr>
        <w:t xml:space="preserve">Microsoft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Windows</w:t>
      </w:r>
      <w:r>
        <w:rPr>
          <w:rFonts w:ascii="Tinos" w:hAnsi="Tinos" w:eastAsia="Tinos" w:cs="Tinos"/>
          <w:sz w:val="28"/>
          <w:szCs w:val="28"/>
          <w:highlight w:val="none"/>
          <w:lang w:val="ru-RU"/>
        </w:rPr>
        <w:t xml:space="preserve"> «Калькулятор», предназначенную для выполнения вычислительных операций, а также графический редактор </w:t>
      </w:r>
      <w:r>
        <w:rPr>
          <w:rFonts w:ascii="Tinos" w:hAnsi="Tinos" w:eastAsia="Tinos" w:cs="Tinos"/>
          <w:sz w:val="28"/>
          <w:szCs w:val="28"/>
          <w:highlight w:val="none"/>
          <w:lang w:val="ru-RU"/>
        </w:rPr>
        <w:t xml:space="preserve">Microsoft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Paint</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разместить ярлыки для запуска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на</w:t>
      </w:r>
      <w:r>
        <w:rPr>
          <w:rFonts w:ascii="Tinos" w:hAnsi="Tinos" w:eastAsia="Tinos" w:cs="Tinos"/>
          <w:sz w:val="28"/>
          <w:szCs w:val="28"/>
          <w:highlight w:val="none"/>
          <w:lang w:val="ru-RU"/>
        </w:rPr>
        <w:t xml:space="preserve"> рабочем столе операционной системы.</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5 календарных дней до проведения </w:t>
      </w:r>
      <w:r>
        <w:rPr>
          <w:rFonts w:ascii="Tinos" w:hAnsi="Tinos" w:eastAsia="Tinos" w:cs="Tinos"/>
          <w:sz w:val="28"/>
          <w:szCs w:val="28"/>
          <w:highlight w:val="none"/>
          <w:lang w:val="ru-RU"/>
        </w:rPr>
        <w:t xml:space="preserve">КЕГЭ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технический специалист должен: </w:t>
      </w:r>
      <w:r>
        <w:rPr>
          <w:rFonts w:ascii="Tinos" w:hAnsi="Tinos" w:cs="Tinos"/>
          <w:sz w:val="28"/>
          <w:szCs w:val="28"/>
          <w:highlight w:val="none"/>
        </w:rPr>
      </w:r>
      <w:r>
        <w:rPr>
          <w:rFonts w:ascii="Tinos" w:hAnsi="Tinos" w:cs="Tinos"/>
          <w:sz w:val="28"/>
          <w:szCs w:val="28"/>
          <w:highlight w:val="none"/>
        </w:rPr>
      </w:r>
    </w:p>
    <w:p>
      <w:pPr>
        <w:pStyle w:val="1003"/>
        <w:ind w:left="709" w:right="-1" w:firstLine="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а) получить из РЦОИ следующие материалы:</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дистрибутивы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«Станция организатора»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станция Штаба ППЭ (используется для сканиров</w:t>
      </w:r>
      <w:r>
        <w:rPr>
          <w:rFonts w:ascii="Tinos" w:hAnsi="Tinos" w:eastAsia="Tinos" w:cs="Tinos"/>
          <w:sz w:val="28"/>
          <w:szCs w:val="28"/>
          <w:highlight w:val="none"/>
          <w:lang w:val="ru-RU"/>
        </w:rPr>
        <w:t xml:space="preserve">ания форм ППЭ в Штабе ППЭ, а также бланков регистрации в случае возникновения нештатных ситуаций в работе станции организатора на этапе сканирования; для формирования ключа по паролю в случае отсутствия доступа в сеть «Интернет» в день проведения экзамена)</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перечень </w:t>
      </w:r>
      <w:r>
        <w:rPr>
          <w:rFonts w:ascii="Tinos" w:hAnsi="Tinos" w:eastAsia="Tinos" w:cs="Tinos"/>
          <w:sz w:val="28"/>
          <w:szCs w:val="28"/>
          <w:highlight w:val="none"/>
          <w:lang w:val="ru-RU"/>
        </w:rPr>
        <w:t xml:space="preserve">стандарстного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в электронном виде в формате, доступном для загрузки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инструкцию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КЕГЭ;</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б) проверить соответствие технических характеристик компьютеров (ноутбуков) в аудиториях и Штабе ППЭ, а также резервных компьютеров (ноутбуков) предъявляемым требованиям (пункт </w:t>
      </w:r>
      <w:r>
        <w:rPr>
          <w:rFonts w:ascii="Tinos" w:hAnsi="Tinos" w:eastAsia="Tinos" w:cs="Tinos"/>
          <w:sz w:val="28"/>
          <w:szCs w:val="28"/>
          <w:highlight w:val="none"/>
          <w:lang w:val="ru-RU"/>
        </w:rPr>
        <w:t xml:space="preserve">7</w:t>
      </w:r>
      <w:r>
        <w:rPr>
          <w:rFonts w:ascii="Tinos" w:hAnsi="Tinos" w:eastAsia="Tinos" w:cs="Tinos"/>
          <w:sz w:val="28"/>
          <w:szCs w:val="28"/>
          <w:highlight w:val="none"/>
          <w:lang w:val="ru-RU"/>
        </w:rPr>
        <w:t xml:space="preserve"> настоящей Инструкции);</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присвоить всем компьютерам (ноутбукам), включая резервные, уникальный в рамках ППЭ номер компьютера</w:t>
      </w:r>
      <w:r>
        <w:rPr>
          <w:rFonts w:ascii="Tinos" w:hAnsi="Tinos" w:eastAsia="Tinos" w:cs="Tinos"/>
          <w:sz w:val="28"/>
          <w:szCs w:val="28"/>
          <w:highlight w:val="none"/>
          <w:lang w:val="ru-RU"/>
        </w:rPr>
        <w:t xml:space="preserve"> (ноутбука)</w:t>
      </w:r>
      <w:r>
        <w:rPr>
          <w:rFonts w:ascii="Tinos" w:hAnsi="Tinos" w:eastAsia="Tinos" w:cs="Tinos"/>
          <w:sz w:val="28"/>
          <w:szCs w:val="28"/>
          <w:highlight w:val="none"/>
          <w:lang w:val="ru-RU"/>
        </w:rPr>
        <w:t xml:space="preserve"> на весь период проведения экзаменов (если не был присвоен ранее);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г) проверить соответствие технических характеристик основных и резервных лазерных принтеров, сканеров предъявляемым требованиям (пункт </w:t>
      </w:r>
      <w:r>
        <w:rPr>
          <w:rFonts w:ascii="Tinos" w:hAnsi="Tinos" w:eastAsia="Tinos" w:cs="Tinos"/>
          <w:sz w:val="28"/>
          <w:szCs w:val="28"/>
          <w:highlight w:val="none"/>
          <w:lang w:val="ru-RU"/>
        </w:rPr>
        <w:t xml:space="preserve">7</w:t>
      </w:r>
      <w:r>
        <w:rPr>
          <w:rFonts w:ascii="Tinos" w:hAnsi="Tinos" w:eastAsia="Tinos" w:cs="Tinos"/>
          <w:sz w:val="28"/>
          <w:szCs w:val="28"/>
          <w:highlight w:val="none"/>
          <w:lang w:val="ru-RU"/>
        </w:rPr>
        <w:t xml:space="preserve"> настоящей Инструкции);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w:t>
      </w:r>
      <w:r>
        <w:rPr>
          <w:rFonts w:ascii="Tinos" w:hAnsi="Tinos" w:eastAsia="Tinos" w:cs="Tinos"/>
          <w:sz w:val="28"/>
          <w:szCs w:val="28"/>
          <w:highlight w:val="none"/>
          <w:lang w:val="ru-RU"/>
        </w:rPr>
        <w:t xml:space="preserve">) установить полученное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на</w:t>
      </w:r>
      <w:r>
        <w:rPr>
          <w:rFonts w:ascii="Tinos" w:hAnsi="Tinos" w:eastAsia="Tinos" w:cs="Tinos"/>
          <w:sz w:val="28"/>
          <w:szCs w:val="28"/>
          <w:highlight w:val="none"/>
          <w:lang w:val="ru-RU"/>
        </w:rPr>
        <w:t xml:space="preserve"> все компьютеры (ноутбуки), предназначенные для использования при проведении экзаменов, включая резервные, при этом после установки дистрибутива станции для печати при указании региона будет автоматически развёрнута станция организатора;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е) подключить необходимое оборудование:</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станции организатора – локальный лазерный принтер и сканер;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станции Штаба ППЭ – сканер и локальный лазерный принтер (для печати сопроводительной документации)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Основная станция </w:t>
      </w:r>
      <w:r>
        <w:rPr>
          <w:rFonts w:ascii="Tinos" w:hAnsi="Tinos" w:eastAsia="Tinos" w:cs="Tinos"/>
          <w:sz w:val="28"/>
          <w:szCs w:val="28"/>
          <w:highlight w:val="none"/>
          <w:lang w:val="ru-RU"/>
        </w:rPr>
        <w:t xml:space="preserve">Штаба</w:t>
      </w:r>
      <w:r>
        <w:rPr>
          <w:rFonts w:ascii="Tinos" w:hAnsi="Tinos" w:eastAsia="Tinos" w:cs="Tinos"/>
          <w:sz w:val="28"/>
          <w:szCs w:val="28"/>
          <w:highlight w:val="none"/>
          <w:lang w:val="ru-RU"/>
        </w:rPr>
        <w:t xml:space="preserve"> ППЭ должна быть установлена на отдельном компьютере (ноутбуке), не имеющем подключений к сети «И</w:t>
      </w:r>
      <w:r>
        <w:rPr>
          <w:rFonts w:ascii="Tinos" w:hAnsi="Tinos" w:eastAsia="Tinos" w:cs="Tinos"/>
          <w:sz w:val="28"/>
          <w:szCs w:val="28"/>
          <w:highlight w:val="none"/>
          <w:lang w:val="ru-RU"/>
        </w:rPr>
        <w:t xml:space="preserve">нтернет» на период сканирования</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Выполнить предварительную настройку компьютеров (ноутбуков): внести код региона, код ППЭ, уникальный в рамках ППЭ номер компьютера в </w:t>
      </w:r>
      <w:r>
        <w:rPr>
          <w:rFonts w:ascii="Tinos" w:hAnsi="Tinos" w:eastAsia="Tinos" w:cs="Tinos"/>
          <w:sz w:val="28"/>
          <w:szCs w:val="28"/>
          <w:highlight w:val="none"/>
          <w:lang w:val="ru-RU"/>
        </w:rPr>
        <w:t xml:space="preserve">установленное</w:t>
      </w:r>
      <w:r>
        <w:rPr>
          <w:rFonts w:ascii="Tinos" w:hAnsi="Tinos" w:eastAsia="Tinos" w:cs="Tinos"/>
          <w:sz w:val="28"/>
          <w:szCs w:val="28"/>
          <w:highlight w:val="none"/>
          <w:lang w:val="ru-RU"/>
        </w:rPr>
        <w:t xml:space="preserve"> ПО (в случае использования компьютера (ноутбука) для установки нескольких видов ПО номер компьютера должен совпадать), код МСУ (только для станции организатора).</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ранее использовавшимися.</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Перед каждым экзаменом проводится техническая подготовка ППЭ.</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highlight w:val="none"/>
        </w:rPr>
      </w:pPr>
      <w:r>
        <w:rPr>
          <w:rFonts w:ascii="Tinos" w:hAnsi="Tinos" w:eastAsia="Tinos" w:cs="Tinos"/>
          <w:sz w:val="28"/>
          <w:szCs w:val="28"/>
          <w:highlight w:val="none"/>
          <w:lang w:val="ru-RU"/>
        </w:rPr>
        <w:t xml:space="preserve">До проведения технической подготовки технический специалист должен получить из РЦОИ информацию о номерах задействованных аудиторий и количестве станций КЕГЭ</w:t>
      </w:r>
      <w:r>
        <w:rPr>
          <w:rFonts w:ascii="Tinos" w:hAnsi="Tinos" w:eastAsia="Tinos" w:cs="Tinos"/>
          <w:highlight w:val="none"/>
          <w:lang w:val="ru-RU"/>
        </w:rPr>
        <w:t xml:space="preserve">.</w:t>
      </w:r>
      <w:r>
        <w:rPr>
          <w:rFonts w:ascii="Tinos" w:hAnsi="Tinos" w:cs="Tinos"/>
          <w:highlight w:val="none"/>
        </w:rPr>
      </w:r>
      <w:r>
        <w:rPr>
          <w:rFonts w:ascii="Tinos" w:hAnsi="Tinos" w:cs="Tinos"/>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каждого участника должна быть подготовлена индивидуальная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танция КЕГЭ</w:t>
      </w:r>
      <w:r>
        <w:rPr>
          <w:rFonts w:ascii="Tinos" w:hAnsi="Tinos" w:eastAsia="Tinos" w:cs="Tinos"/>
          <w:sz w:val="28"/>
          <w:szCs w:val="28"/>
          <w:highlight w:val="none"/>
          <w:lang w:val="ru-RU"/>
        </w:rPr>
        <w:t xml:space="preserve">, на дату экзамена предусмотрено выполнение экзаменационной работы только одним участником.</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ранее чем за 5 календарных дней, но не позднее чем в 16 часов 00 минут календарного дня, предшествующего экзамену, и до проведения контроля технической готовности технический специалист должен завершить техническую подготовку ППЭ к экзамену:</w:t>
      </w:r>
      <w:r>
        <w:rPr>
          <w:rFonts w:ascii="Tinos" w:hAnsi="Tinos" w:cs="Tinos"/>
          <w:sz w:val="28"/>
          <w:szCs w:val="28"/>
          <w:highlight w:val="none"/>
        </w:rPr>
      </w:r>
      <w:r>
        <w:rPr>
          <w:rFonts w:ascii="Tinos" w:hAnsi="Tinos" w:cs="Tinos"/>
          <w:sz w:val="28"/>
          <w:szCs w:val="28"/>
          <w:highlight w:val="none"/>
        </w:rPr>
      </w:r>
    </w:p>
    <w:p>
      <w:pPr>
        <w:ind w:right="-1" w:firstLine="72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а</w:t>
      </w:r>
      <w:r>
        <w:rPr>
          <w:rFonts w:ascii="Tinos" w:hAnsi="Tinos" w:eastAsia="Tinos" w:cs="Tinos"/>
          <w:sz w:val="28"/>
          <w:szCs w:val="28"/>
          <w:highlight w:val="none"/>
          <w:lang w:val="ru-RU"/>
        </w:rPr>
        <w:t xml:space="preserve">) на компьютере (ноутбуке), предназначенном для работы в личном кабинете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соединения с личным кабинетом ППЭ по основному и</w:t>
      </w:r>
      <w:r>
        <w:rPr>
          <w:rFonts w:ascii="Tinos" w:hAnsi="Tinos" w:cs="Tinos"/>
          <w:sz w:val="28"/>
          <w:szCs w:val="28"/>
          <w:highlight w:val="none"/>
        </w:rPr>
      </w:r>
      <w:r>
        <w:rPr>
          <w:rFonts w:ascii="Tinos" w:hAnsi="Tinos" w:cs="Tinos"/>
          <w:sz w:val="28"/>
          <w:szCs w:val="28"/>
          <w:highlight w:val="none"/>
        </w:rPr>
      </w:r>
    </w:p>
    <w:p>
      <w:pPr>
        <w:ind w:left="-15" w:right="-1" w:firstLine="15"/>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резервному каналам доступа в сеть «Интернет»;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использования ЗСПД ГИА: проверить наличие связи через </w:t>
      </w:r>
      <w:r>
        <w:rPr>
          <w:rFonts w:ascii="Tinos" w:hAnsi="Tinos" w:eastAsia="Tinos" w:cs="Tinos"/>
          <w:sz w:val="28"/>
          <w:szCs w:val="28"/>
          <w:highlight w:val="none"/>
          <w:lang w:val="ru-RU"/>
        </w:rPr>
        <w:t xml:space="preserve">VipNet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Client</w:t>
      </w:r>
      <w:r>
        <w:rPr>
          <w:rFonts w:ascii="Tinos" w:hAnsi="Tinos" w:eastAsia="Tinos" w:cs="Tinos"/>
          <w:sz w:val="28"/>
          <w:szCs w:val="28"/>
          <w:highlight w:val="none"/>
          <w:lang w:val="ru-RU"/>
        </w:rPr>
        <w:t xml:space="preserve"> с ЗСПД ГИА по основному и резервному каналам связи сети «Интернет»;</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б</w:t>
      </w:r>
      <w:r>
        <w:rPr>
          <w:rFonts w:ascii="Tinos" w:hAnsi="Tinos" w:eastAsia="Tinos" w:cs="Tinos"/>
          <w:sz w:val="28"/>
          <w:szCs w:val="28"/>
          <w:highlight w:val="none"/>
          <w:lang w:val="ru-RU"/>
        </w:rPr>
        <w:t xml:space="preserve">)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при необходимости скорректировать, тип основного и резервного каналов доступа в сеть «Интернет» (либо зафиксировать отсутствие резервного канала доступа в сеть «Интернет»).</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Запросить и получить у руководителя ППЭ </w:t>
      </w:r>
      <w:r>
        <w:rPr>
          <w:rFonts w:ascii="Tinos" w:hAnsi="Tinos" w:eastAsia="Tinos" w:cs="Tinos"/>
          <w:sz w:val="28"/>
          <w:szCs w:val="28"/>
          <w:highlight w:val="none"/>
          <w:lang w:val="ru-RU"/>
        </w:rPr>
        <w:t xml:space="preserve">переданный</w:t>
      </w:r>
      <w:r>
        <w:rPr>
          <w:rFonts w:ascii="Tinos" w:hAnsi="Tinos" w:eastAsia="Tinos" w:cs="Tinos"/>
          <w:sz w:val="28"/>
          <w:szCs w:val="28"/>
          <w:highlight w:val="none"/>
          <w:lang w:val="ru-RU"/>
        </w:rPr>
        <w:t xml:space="preserve"> на хранение основной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в случае неработоспособности основного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использовать резервный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на каждой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 каждой аудитории, назначенной на экзамен, и резервных станциях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при необходимости скорректировать: код региона, код ППЭ, номер компьютера – уникальный для ППЭ номер компьютера (ноутбука);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внести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системного времени;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файл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 с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для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в соответствии с настройками даты и учебного предмета;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создание рабочей папки экзамена (указать путь к корневой папке для создания рабочей папки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корректность функционирования интерфейса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 части работы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КИМ:</w:t>
      </w:r>
      <w:r>
        <w:rPr>
          <w:rFonts w:ascii="Tinos" w:hAnsi="Tinos" w:cs="Tinos"/>
          <w:sz w:val="28"/>
          <w:szCs w:val="28"/>
          <w:highlight w:val="none"/>
        </w:rPr>
      </w:r>
      <w:r>
        <w:rPr>
          <w:rFonts w:ascii="Tinos" w:hAnsi="Tinos" w:cs="Tinos"/>
          <w:sz w:val="28"/>
          <w:szCs w:val="28"/>
          <w:highlight w:val="none"/>
        </w:rPr>
      </w:r>
    </w:p>
    <w:p>
      <w:pPr>
        <w:pStyle w:val="1014"/>
        <w:numPr>
          <w:ilvl w:val="0"/>
          <w:numId w:val="11"/>
        </w:numPr>
        <w:ind w:left="0" w:firstLine="709"/>
        <w:jc w:val="both"/>
        <w:spacing w:before="0" w:beforeAutospacing="0" w:after="0" w:afterAutospacing="0"/>
        <w:tabs>
          <w:tab w:val="left" w:pos="1134" w:leader="none"/>
        </w:tabs>
        <w:rPr>
          <w:rFonts w:ascii="Tinos" w:hAnsi="Tinos" w:cs="Tinos"/>
          <w:sz w:val="28"/>
          <w:szCs w:val="28"/>
          <w:highlight w:val="none"/>
        </w:rPr>
      </w:pPr>
      <w:r>
        <w:rPr>
          <w:rFonts w:ascii="Tinos" w:hAnsi="Tinos" w:eastAsia="Tinos" w:cs="Tinos"/>
          <w:sz w:val="28"/>
          <w:szCs w:val="28"/>
          <w:highlight w:val="none"/>
        </w:rPr>
        <w:t xml:space="preserve">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 </w:t>
      </w:r>
      <w:r>
        <w:rPr>
          <w:rFonts w:ascii="Tinos" w:hAnsi="Tinos" w:cs="Tinos"/>
          <w:sz w:val="28"/>
          <w:szCs w:val="28"/>
          <w:highlight w:val="none"/>
        </w:rPr>
      </w:r>
      <w:r>
        <w:rPr>
          <w:rFonts w:ascii="Tinos" w:hAnsi="Tinos" w:cs="Tinos"/>
          <w:sz w:val="28"/>
          <w:szCs w:val="28"/>
          <w:highlight w:val="none"/>
        </w:rPr>
      </w:r>
    </w:p>
    <w:p>
      <w:pPr>
        <w:pStyle w:val="1014"/>
        <w:numPr>
          <w:ilvl w:val="0"/>
          <w:numId w:val="11"/>
        </w:numPr>
        <w:ind w:left="0" w:firstLine="709"/>
        <w:jc w:val="both"/>
        <w:spacing w:before="0" w:beforeAutospacing="0" w:after="0" w:afterAutospacing="0"/>
        <w:tabs>
          <w:tab w:val="left" w:pos="1134" w:leader="none"/>
        </w:tabs>
        <w:rPr>
          <w:rFonts w:ascii="Tinos" w:hAnsi="Tinos" w:cs="Tinos"/>
          <w:sz w:val="28"/>
          <w:szCs w:val="28"/>
          <w:highlight w:val="none"/>
        </w:rPr>
      </w:pPr>
      <w:r>
        <w:rPr>
          <w:rFonts w:ascii="Tinos" w:hAnsi="Tinos" w:eastAsia="Tinos" w:cs="Tinos"/>
          <w:sz w:val="28"/>
          <w:szCs w:val="28"/>
          <w:highlight w:val="none"/>
        </w:rPr>
        <w:t xml:space="preserve">доступна возможность ввода и сохранения ответа на стандартное задание и на задание с ответом в табличном виде; </w:t>
      </w:r>
      <w:r>
        <w:rPr>
          <w:rFonts w:ascii="Tinos" w:hAnsi="Tinos" w:cs="Tinos"/>
          <w:sz w:val="28"/>
          <w:szCs w:val="28"/>
          <w:highlight w:val="none"/>
        </w:rPr>
      </w:r>
      <w:r>
        <w:rPr>
          <w:rFonts w:ascii="Tinos" w:hAnsi="Tinos" w:cs="Tinos"/>
          <w:sz w:val="28"/>
          <w:szCs w:val="28"/>
          <w:highlight w:val="none"/>
        </w:rPr>
      </w:r>
    </w:p>
    <w:p>
      <w:pPr>
        <w:pStyle w:val="1014"/>
        <w:numPr>
          <w:ilvl w:val="0"/>
          <w:numId w:val="11"/>
        </w:numPr>
        <w:ind w:left="0" w:firstLine="709"/>
        <w:jc w:val="both"/>
        <w:spacing w:before="0" w:beforeAutospacing="0" w:after="0" w:afterAutospacing="0"/>
        <w:tabs>
          <w:tab w:val="left" w:pos="1134" w:leader="none"/>
        </w:tabs>
        <w:rPr>
          <w:rFonts w:ascii="Tinos" w:hAnsi="Tinos" w:cs="Tinos"/>
          <w:sz w:val="28"/>
          <w:szCs w:val="28"/>
          <w:highlight w:val="none"/>
        </w:rPr>
      </w:pPr>
      <w:r>
        <w:rPr>
          <w:rFonts w:ascii="Tinos" w:hAnsi="Tinos" w:eastAsia="Tinos" w:cs="Tinos"/>
          <w:sz w:val="28"/>
          <w:szCs w:val="28"/>
          <w:highlight w:val="none"/>
        </w:rPr>
        <w:t xml:space="preserve">доступна возможность сохранения прилагаемых файлов к заданиям, сохраненные файлы содержатся в рабочей папке; </w:t>
      </w:r>
      <w:r>
        <w:rPr>
          <w:rFonts w:ascii="Tinos" w:hAnsi="Tinos" w:cs="Tinos"/>
          <w:sz w:val="28"/>
          <w:szCs w:val="28"/>
          <w:highlight w:val="none"/>
        </w:rPr>
      </w:r>
      <w:r>
        <w:rPr>
          <w:rFonts w:ascii="Tinos" w:hAnsi="Tinos" w:cs="Tinos"/>
          <w:sz w:val="28"/>
          <w:szCs w:val="28"/>
          <w:highlight w:val="none"/>
        </w:rPr>
      </w:r>
    </w:p>
    <w:p>
      <w:pPr>
        <w:pStyle w:val="1003"/>
        <w:numPr>
          <w:ilvl w:val="0"/>
          <w:numId w:val="11"/>
        </w:numPr>
        <w:ind w:left="0" w:right="-1"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кнопки вызова инструкции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и сворачивания станции работоспособны</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что </w:t>
      </w:r>
      <w:r>
        <w:rPr>
          <w:rFonts w:ascii="Tinos" w:hAnsi="Tinos" w:eastAsia="Tinos" w:cs="Tinos"/>
          <w:sz w:val="28"/>
          <w:szCs w:val="28"/>
          <w:highlight w:val="none"/>
          <w:lang w:val="ru-RU"/>
        </w:rPr>
        <w:t xml:space="preserve">установленное</w:t>
      </w:r>
      <w:r>
        <w:rPr>
          <w:rFonts w:ascii="Tinos" w:hAnsi="Tinos" w:eastAsia="Tinos" w:cs="Tinos"/>
          <w:sz w:val="28"/>
          <w:szCs w:val="28"/>
          <w:highlight w:val="none"/>
          <w:lang w:val="ru-RU"/>
        </w:rPr>
        <w:t xml:space="preserve"> ранее стандартное ПО корректно работает при запущенной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зарегистрировать (проверить регистрацию) </w:t>
      </w:r>
      <w:r>
        <w:rPr>
          <w:rFonts w:ascii="Tinos" w:hAnsi="Tinos" w:eastAsia="Tinos" w:cs="Tinos"/>
          <w:sz w:val="28"/>
          <w:szCs w:val="28"/>
          <w:highlight w:val="none"/>
          <w:lang w:val="ru-RU"/>
        </w:rPr>
        <w:t xml:space="preserve">стандартное</w:t>
      </w:r>
      <w:r>
        <w:rPr>
          <w:rFonts w:ascii="Tinos" w:hAnsi="Tinos" w:eastAsia="Tinos" w:cs="Tinos"/>
          <w:sz w:val="28"/>
          <w:szCs w:val="28"/>
          <w:highlight w:val="none"/>
          <w:lang w:val="ru-RU"/>
        </w:rPr>
        <w:t xml:space="preserve"> ПО в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1"/>
        </w:numPr>
        <w:ind w:left="0" w:right="-1" w:firstLine="709"/>
        <w:spacing w:before="0" w:beforeAutospacing="0" w:after="0" w:afterAutospacing="0" w:line="240" w:lineRule="auto"/>
        <w:tabs>
          <w:tab w:val="left" w:pos="1134" w:leader="none"/>
        </w:tabs>
        <w:rPr>
          <w:rFonts w:ascii="Tinos" w:hAnsi="Tinos" w:cs="Tinos"/>
          <w:highlight w:val="none"/>
        </w:rPr>
      </w:pPr>
      <w:r>
        <w:rPr>
          <w:rFonts w:ascii="Tinos" w:hAnsi="Tinos" w:eastAsia="Tinos" w:cs="Tinos"/>
          <w:sz w:val="28"/>
          <w:szCs w:val="28"/>
          <w:highlight w:val="none"/>
          <w:lang w:val="ru-RU"/>
        </w:rPr>
        <w:t xml:space="preserve">загрузить стандартный перечень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в формате, доступном для загрузки в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при необходимости скорректировать его;</w:t>
      </w:r>
      <w:r>
        <w:rPr>
          <w:rFonts w:ascii="Tinos" w:hAnsi="Tinos" w:cs="Tinos"/>
          <w:highlight w:val="none"/>
        </w:rPr>
      </w:r>
      <w:r>
        <w:rPr>
          <w:rFonts w:ascii="Tinos" w:hAnsi="Tinos" w:cs="Tinos"/>
          <w:highlight w:val="none"/>
        </w:rPr>
      </w:r>
    </w:p>
    <w:p>
      <w:pPr>
        <w:pStyle w:val="1003"/>
        <w:numPr>
          <w:ilvl w:val="0"/>
          <w:numId w:val="11"/>
        </w:numPr>
        <w:ind w:left="0" w:right="-1" w:firstLine="709"/>
        <w:spacing w:before="0" w:beforeAutospacing="0" w:after="0" w:afterAutospacing="0" w:line="240" w:lineRule="auto"/>
        <w:tabs>
          <w:tab w:val="left" w:pos="1134" w:leader="none"/>
        </w:tabs>
        <w:rPr>
          <w:rFonts w:ascii="Tinos" w:hAnsi="Tinos" w:cs="Tinos"/>
          <w:highlight w:val="none"/>
        </w:rPr>
      </w:pPr>
      <w:r>
        <w:rPr>
          <w:rFonts w:ascii="Tinos" w:hAnsi="Tinos" w:eastAsia="Tinos" w:cs="Tinos"/>
          <w:sz w:val="28"/>
          <w:szCs w:val="28"/>
          <w:highlight w:val="none"/>
          <w:lang w:val="ru-RU"/>
        </w:rPr>
        <w:t xml:space="preserve">если перечень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был</w:t>
      </w:r>
      <w:r>
        <w:rPr>
          <w:rFonts w:ascii="Tinos" w:hAnsi="Tinos" w:eastAsia="Tinos" w:cs="Tinos"/>
          <w:sz w:val="28"/>
          <w:szCs w:val="28"/>
          <w:highlight w:val="none"/>
          <w:lang w:val="ru-RU"/>
        </w:rPr>
        <w:t xml:space="preserve"> загружен ранее, то убедиться в его актуальности;</w:t>
      </w:r>
      <w:r>
        <w:rPr>
          <w:rFonts w:ascii="Tinos" w:hAnsi="Tinos" w:cs="Tinos"/>
          <w:highlight w:val="none"/>
        </w:rPr>
      </w:r>
      <w:r>
        <w:rPr>
          <w:rFonts w:ascii="Tinos" w:hAnsi="Tinos" w:cs="Tinos"/>
          <w:highlight w:val="none"/>
        </w:rPr>
      </w:r>
    </w:p>
    <w:p>
      <w:pPr>
        <w:pStyle w:val="1003"/>
        <w:numPr>
          <w:ilvl w:val="0"/>
          <w:numId w:val="11"/>
        </w:numPr>
        <w:ind w:left="0" w:right="-1"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для каждой категории стандартного ПО из числа </w:t>
      </w:r>
      <w:r>
        <w:rPr>
          <w:rFonts w:ascii="Tinos" w:hAnsi="Tinos" w:eastAsia="Tinos" w:cs="Tinos"/>
          <w:sz w:val="28"/>
          <w:szCs w:val="28"/>
          <w:highlight w:val="none"/>
          <w:lang w:val="ru-RU"/>
        </w:rPr>
        <w:t xml:space="preserve">включённых</w:t>
      </w:r>
      <w:r>
        <w:rPr>
          <w:rFonts w:ascii="Tinos" w:hAnsi="Tinos" w:eastAsia="Tinos" w:cs="Tinos"/>
          <w:sz w:val="28"/>
          <w:szCs w:val="28"/>
          <w:highlight w:val="none"/>
          <w:lang w:val="ru-RU"/>
        </w:rPr>
        <w:t xml:space="preserve"> в Спецификацию КИМ обязательно должно быть указано наименование ПО. В случае отсутствия регистрации любой категории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техническая подготовка не может быть завершена;</w:t>
      </w:r>
      <w:r>
        <w:rPr>
          <w:rFonts w:ascii="Tinos" w:hAnsi="Tinos" w:cs="Tinos"/>
          <w:sz w:val="28"/>
          <w:szCs w:val="28"/>
          <w:highlight w:val="none"/>
        </w:rPr>
      </w:r>
      <w:r>
        <w:rPr>
          <w:rFonts w:ascii="Tinos" w:hAnsi="Tinos" w:cs="Tinos"/>
          <w:sz w:val="28"/>
          <w:szCs w:val="28"/>
          <w:highlight w:val="none"/>
        </w:rPr>
      </w:r>
    </w:p>
    <w:p>
      <w:pPr>
        <w:pStyle w:val="1003"/>
        <w:numPr>
          <w:ilvl w:val="0"/>
          <w:numId w:val="11"/>
        </w:numPr>
        <w:ind w:left="0" w:right="-1"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для каждого языка программирования из числа </w:t>
      </w:r>
      <w:r>
        <w:rPr>
          <w:rFonts w:ascii="Tinos" w:hAnsi="Tinos" w:eastAsia="Tinos" w:cs="Tinos"/>
          <w:sz w:val="28"/>
          <w:szCs w:val="28"/>
          <w:highlight w:val="none"/>
          <w:lang w:val="ru-RU"/>
        </w:rPr>
        <w:t xml:space="preserve">включенных</w:t>
      </w:r>
      <w:r>
        <w:rPr>
          <w:rFonts w:ascii="Tinos" w:hAnsi="Tinos" w:eastAsia="Tinos" w:cs="Tinos"/>
          <w:sz w:val="28"/>
          <w:szCs w:val="28"/>
          <w:highlight w:val="none"/>
          <w:lang w:val="ru-RU"/>
        </w:rPr>
        <w:t xml:space="preserve"> в Спецификацию КИМ должна быть зарегистрирована среда программирования. В случае отсутствия регистрации среды программирования для какого-либо языка программирования выдается уведомление об этом, но проверка может быть завершена.</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Количество версий </w:t>
      </w:r>
      <w:r>
        <w:rPr>
          <w:rFonts w:ascii="Tinos" w:hAnsi="Tinos" w:eastAsia="Tinos" w:cs="Tinos"/>
          <w:sz w:val="28"/>
          <w:szCs w:val="28"/>
          <w:highlight w:val="none"/>
          <w:lang w:val="ru-RU"/>
        </w:rPr>
        <w:t xml:space="preserve">стандартного</w:t>
      </w:r>
      <w:r>
        <w:rPr>
          <w:rFonts w:ascii="Tinos" w:hAnsi="Tinos" w:eastAsia="Tinos" w:cs="Tinos"/>
          <w:sz w:val="28"/>
          <w:szCs w:val="28"/>
          <w:highlight w:val="none"/>
          <w:lang w:val="ru-RU"/>
        </w:rPr>
        <w:t xml:space="preserve"> ПО для каждой категории не ограничивается и может быть любым.</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Если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используются для следующих дней проведения КЕГЭ необходимо безвозвратно удалить сохраненные файлы (в т.ч. из корзины), созданные в ходе выполнения экзаменационных заданий участниками КЕГЭ в предыдущие дни проведения ЕГЭ.</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г) на каждой станции организатора в каждой аудитории, назначенной на экзамен, и резервных станциях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при необходимости скорректировать: код региона, код ППЭ (впечатываются в бланки регистрации участников экзамена), код МСУ, номер компьютера – уникальный для ППЭ номер компьютера (ноутбука);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внести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системного времени;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файл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 с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для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в соответствии с настройками даты и учебного предмета;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w:t>
      </w:r>
      <w:r>
        <w:rPr>
          <w:rFonts w:ascii="Tinos" w:hAnsi="Tinos" w:eastAsia="Tinos" w:cs="Tinos"/>
          <w:sz w:val="28"/>
          <w:szCs w:val="28"/>
          <w:highlight w:val="none"/>
          <w:lang w:val="ru-RU"/>
        </w:rPr>
        <w:t xml:space="preserve">ценить достаточность ресурса картриджа для проведения экзамена (в дальнейшем проводится в рамках контроля технической готовности);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печа</w:t>
      </w:r>
      <w:r>
        <w:rPr>
          <w:rFonts w:ascii="Tinos" w:hAnsi="Tinos" w:eastAsia="Tinos" w:cs="Tinos"/>
          <w:sz w:val="28"/>
          <w:szCs w:val="28"/>
          <w:highlight w:val="none"/>
          <w:lang w:val="ru-RU"/>
        </w:rPr>
        <w:t xml:space="preserve">ть калибровочного листа (тестовую печать границ) и тестового бланка регистрации, убедиться в качестве печати: все напечатанные границы видны, на тестовом бланке регистрации и калибровочном листе отсутствуют белые и темные полосы, черные квадраты (реперы), </w:t>
      </w:r>
      <w:r>
        <w:rPr>
          <w:rFonts w:ascii="Tinos" w:hAnsi="Tinos" w:eastAsia="Tinos" w:cs="Tinos"/>
          <w:sz w:val="28"/>
          <w:szCs w:val="28"/>
          <w:highlight w:val="none"/>
          <w:lang w:val="ru-RU"/>
        </w:rPr>
        <w:t xml:space="preserve">штрихкоды</w:t>
      </w:r>
      <w:r>
        <w:rPr>
          <w:rFonts w:ascii="Tinos" w:hAnsi="Tinos" w:eastAsia="Tinos" w:cs="Tinos"/>
          <w:sz w:val="28"/>
          <w:szCs w:val="28"/>
          <w:highlight w:val="none"/>
          <w:lang w:val="ru-RU"/>
        </w:rPr>
        <w:t xml:space="preserve"> и QR-код, текст хорошо читаем и четко пропечатан, знакоместа на бланке регистрации четко видны.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Напечатанные тестовые бланки регистрации со всех станций организатора, включая резервные, предъявляются члену ГЭК при проведении </w:t>
      </w:r>
      <w:r>
        <w:rPr>
          <w:rFonts w:ascii="Tinos" w:hAnsi="Tinos" w:eastAsia="Tinos" w:cs="Tinos"/>
          <w:sz w:val="28"/>
          <w:szCs w:val="28"/>
          <w:highlight w:val="none"/>
          <w:lang w:val="ru-RU"/>
        </w:rPr>
        <w:t xml:space="preserve">контроля технической готовности;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принять меры по настройке необходимого качества печати и при необходимости замене картриджа принтера;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калибровку сканера с использованием напечатанного на станции организатора калибровочного листа (тестовой страницы печати границ);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руководителя ППЭ или руководителя </w:t>
      </w:r>
      <w:r>
        <w:rPr>
          <w:rFonts w:ascii="Tinos" w:hAnsi="Tinos" w:eastAsia="Tinos" w:cs="Tinos"/>
          <w:sz w:val="28"/>
          <w:szCs w:val="28"/>
          <w:highlight w:val="none"/>
          <w:lang w:val="ru-RU"/>
        </w:rPr>
        <w:t xml:space="preserve">образовательной организации, на базе </w:t>
      </w:r>
      <w:r>
        <w:rPr>
          <w:rFonts w:ascii="Tinos" w:hAnsi="Tinos" w:eastAsia="Tinos" w:cs="Tinos"/>
          <w:sz w:val="28"/>
          <w:szCs w:val="28"/>
          <w:highlight w:val="none"/>
          <w:lang w:val="ru-RU"/>
        </w:rPr>
        <w:t xml:space="preserve">которй</w:t>
      </w:r>
      <w:r>
        <w:rPr>
          <w:rFonts w:ascii="Tinos" w:hAnsi="Tinos" w:eastAsia="Tinos" w:cs="Tinos"/>
          <w:sz w:val="28"/>
          <w:szCs w:val="28"/>
          <w:highlight w:val="none"/>
          <w:lang w:val="ru-RU"/>
        </w:rPr>
        <w:t xml:space="preserve"> проходит экзамен,</w:t>
      </w:r>
      <w:r>
        <w:rPr>
          <w:rFonts w:ascii="Tinos" w:hAnsi="Tinos" w:eastAsia="Tinos" w:cs="Tinos"/>
          <w:sz w:val="28"/>
          <w:szCs w:val="28"/>
          <w:highlight w:val="none"/>
          <w:lang w:val="ru-RU"/>
        </w:rPr>
        <w:t xml:space="preserve"> достаточное количество бумаги для печати бланков регистрации в каждой аудитории.</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w:t>
      </w:r>
      <w:r>
        <w:rPr>
          <w:rFonts w:ascii="Tinos" w:hAnsi="Tinos" w:eastAsia="Tinos" w:cs="Tinos"/>
          <w:sz w:val="28"/>
          <w:szCs w:val="28"/>
          <w:highlight w:val="none"/>
          <w:lang w:val="ru-RU"/>
        </w:rPr>
        <w:t xml:space="preserve">) на основной и резервной станциях </w:t>
      </w:r>
      <w:r>
        <w:rPr>
          <w:rFonts w:ascii="Tinos" w:hAnsi="Tinos" w:eastAsia="Tinos" w:cs="Tinos"/>
          <w:sz w:val="28"/>
          <w:szCs w:val="28"/>
          <w:highlight w:val="none"/>
          <w:lang w:val="ru-RU"/>
        </w:rPr>
        <w:t xml:space="preserve">Штаба</w:t>
      </w:r>
      <w:r>
        <w:rPr>
          <w:rFonts w:ascii="Tinos" w:hAnsi="Tinos" w:eastAsia="Tinos" w:cs="Tinos"/>
          <w:sz w:val="28"/>
          <w:szCs w:val="28"/>
          <w:highlight w:val="none"/>
          <w:lang w:val="ru-RU"/>
        </w:rPr>
        <w:t xml:space="preserve"> ППЭ, установленных в Штабе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при необходимости скорректировать: код региона, код ППЭ, номер компьютера – уникальный для ППЭ номер компьютера (ноутбука), признак резервной станции для резервной станции;</w:t>
      </w:r>
      <w:r>
        <w:rPr>
          <w:rFonts w:ascii="Tinos" w:hAnsi="Tinos" w:cs="Tinos"/>
          <w:sz w:val="28"/>
          <w:szCs w:val="28"/>
          <w:highlight w:val="none"/>
        </w:rPr>
      </w:r>
      <w:r>
        <w:rPr>
          <w:rFonts w:ascii="Tinos" w:hAnsi="Tinos" w:cs="Tinos"/>
          <w:sz w:val="28"/>
          <w:szCs w:val="28"/>
          <w:highlight w:val="none"/>
        </w:rPr>
      </w:r>
    </w:p>
    <w:p>
      <w:pPr>
        <w:pStyle w:val="1003"/>
        <w:ind w:left="694" w:right="-1" w:firstLine="0"/>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е) для обеспечения сканирования </w:t>
      </w:r>
      <w:r>
        <w:rPr>
          <w:rFonts w:ascii="Tinos" w:hAnsi="Tinos" w:eastAsia="Tinos" w:cs="Tinos"/>
          <w:sz w:val="28"/>
          <w:szCs w:val="28"/>
          <w:highlight w:val="none"/>
          <w:lang w:val="ru-RU"/>
        </w:rPr>
        <w:t xml:space="preserve">припроведении</w:t>
      </w:r>
      <w:r>
        <w:rPr>
          <w:rFonts w:ascii="Tinos" w:hAnsi="Tinos" w:eastAsia="Tinos" w:cs="Tinos"/>
          <w:sz w:val="28"/>
          <w:szCs w:val="28"/>
          <w:highlight w:val="none"/>
          <w:lang w:val="ru-RU"/>
        </w:rPr>
        <w:t xml:space="preserve"> экзамена:</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ввести сведения об экзамене: период проведения экзаменов, учебный предмет и дату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системного времени;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распечатать тестовые формы 13-03-К, ППЭ-12-04-МАШ, ППЭ-18-МАШ (доступны в виде файла по ссылке в станции Штаба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калибровку сканера с использованием эталонного калибровочного листа (доступен в виде файла по ссылке в </w:t>
      </w:r>
      <w:r>
        <w:rPr>
          <w:rFonts w:ascii="Tinos" w:hAnsi="Tinos" w:eastAsia="Tinos" w:cs="Tinos"/>
          <w:sz w:val="28"/>
          <w:szCs w:val="28"/>
          <w:highlight w:val="none"/>
          <w:lang w:val="ru-RU"/>
        </w:rPr>
        <w:t xml:space="preserve">станции Штаба ППЭ</w:t>
      </w:r>
      <w:r>
        <w:rPr>
          <w:rFonts w:ascii="Tinos" w:hAnsi="Tinos" w:eastAsia="Tinos" w:cs="Tinos"/>
          <w:sz w:val="28"/>
          <w:szCs w:val="28"/>
          <w:highlight w:val="none"/>
          <w:lang w:val="ru-RU"/>
        </w:rPr>
        <w:t xml:space="preserve"> и должен быть распечатан до начала калибровки сканера);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тестовое сканирование всех тестовых бланков регистрации, напечатанных на всех станциях организатора, включая резервные, и тестовых форм ППЭ13-03-К</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ППЭ-12-04-МАШ</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ППЭ-18-МАШ;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оценить качество сканирования: все бланки регистрации и формы успешно распознаны и не отмечены как некачественные, черные квадраты (реперы), </w:t>
      </w:r>
      <w:r>
        <w:rPr>
          <w:rFonts w:ascii="Tinos" w:hAnsi="Tinos" w:eastAsia="Tinos" w:cs="Tinos"/>
          <w:sz w:val="28"/>
          <w:szCs w:val="28"/>
          <w:highlight w:val="none"/>
          <w:lang w:val="ru-RU"/>
        </w:rPr>
        <w:t xml:space="preserve">штрихкоды</w:t>
      </w:r>
      <w:r>
        <w:rPr>
          <w:rFonts w:ascii="Tinos" w:hAnsi="Tinos" w:eastAsia="Tinos" w:cs="Tinos"/>
          <w:sz w:val="28"/>
          <w:szCs w:val="28"/>
          <w:highlight w:val="none"/>
          <w:lang w:val="ru-RU"/>
        </w:rPr>
        <w:t xml:space="preserve"> и QR-код хорошо читаемы, знакоместа на бланках регистрации не слишком яркие;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принять меры по настройке принтера на станции организатора, на которой напечатаны тестовые бланки регистрации недостаточного качества (при необходимости);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сохранить тестовый пакет сканирования с отсканированными тестовыми </w:t>
      </w:r>
      <w:r>
        <w:rPr>
          <w:rFonts w:ascii="Tinos" w:hAnsi="Tinos" w:eastAsia="Tinos" w:cs="Tinos"/>
          <w:sz w:val="28"/>
          <w:szCs w:val="28"/>
          <w:highlight w:val="none"/>
          <w:lang w:val="ru-RU"/>
        </w:rPr>
        <w:t xml:space="preserve">бланками регистрации и формами ППЭ для передачи в РЦОИ.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ж</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тестовые пакеты сканирования основной и резервной станций Штаба ППЭ (статус пакетов принимает значение «Подготовлен для передачи 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передать успешно загруженные тестовые пакеты в РЦОИ (статус пакетов принимает значение «Направлен 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подтверждение от РЦОИ (статус пакетов пр</w:t>
      </w:r>
      <w:r>
        <w:rPr>
          <w:rFonts w:ascii="Tinos" w:hAnsi="Tinos" w:eastAsia="Tinos" w:cs="Tinos"/>
          <w:sz w:val="28"/>
          <w:szCs w:val="28"/>
          <w:highlight w:val="none"/>
          <w:lang w:val="ru-RU"/>
        </w:rPr>
        <w:t xml:space="preserve">инимает значение «Подтвержден»).</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з</w:t>
      </w:r>
      <w:r>
        <w:rPr>
          <w:rFonts w:ascii="Tinos" w:hAnsi="Tinos" w:eastAsia="Tinos" w:cs="Tinos"/>
          <w:sz w:val="28"/>
          <w:szCs w:val="28"/>
          <w:highlight w:val="none"/>
          <w:lang w:val="ru-RU"/>
        </w:rPr>
        <w:t xml:space="preserve">) п</w:t>
      </w:r>
      <w:r>
        <w:rPr>
          <w:rFonts w:ascii="Tinos" w:hAnsi="Tinos" w:eastAsia="Tinos" w:cs="Tinos"/>
          <w:sz w:val="28"/>
          <w:szCs w:val="28"/>
          <w:highlight w:val="none"/>
          <w:lang w:val="ru-RU"/>
        </w:rPr>
        <w:t xml:space="preserve">одготовить и проверить дополнительное (резервное) оборудование, необходимое для проведения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принтер, который будет использоваться для печати сопроводительной документации к </w:t>
      </w:r>
      <w:r>
        <w:rPr>
          <w:rFonts w:ascii="Tinos" w:hAnsi="Tinos" w:eastAsia="Tinos" w:cs="Tinos"/>
          <w:sz w:val="28"/>
          <w:szCs w:val="28"/>
          <w:highlight w:val="none"/>
          <w:lang w:val="ru-RU"/>
        </w:rPr>
        <w:t xml:space="preserve">флеш-накопителям</w:t>
      </w:r>
      <w:r>
        <w:rPr>
          <w:rFonts w:ascii="Tinos" w:hAnsi="Tinos" w:eastAsia="Tinos" w:cs="Tinos"/>
          <w:sz w:val="28"/>
          <w:szCs w:val="28"/>
          <w:highlight w:val="none"/>
          <w:lang w:val="ru-RU"/>
        </w:rPr>
        <w:t xml:space="preserve"> с ответами участников КЕГЭ (</w:t>
      </w:r>
      <w:r>
        <w:rPr>
          <w:rFonts w:ascii="Tinos" w:hAnsi="Tinos" w:eastAsia="Tinos" w:cs="Tinos"/>
          <w:sz w:val="28"/>
          <w:szCs w:val="28"/>
          <w:highlight w:val="none"/>
          <w:lang w:val="ru-RU"/>
        </w:rPr>
        <w:t xml:space="preserve">может быть использован принтер, подключённый к станции Штаба ППЭ либо принтер, подключённый к любой станции организатора</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основные и резервные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сохранения ответов участников КЕГЭ;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основной</w:t>
      </w:r>
      <w:r>
        <w:rPr>
          <w:rFonts w:ascii="Tinos" w:hAnsi="Tinos" w:eastAsia="Tinos" w:cs="Tinos"/>
          <w:sz w:val="28"/>
          <w:szCs w:val="28"/>
          <w:highlight w:val="none"/>
          <w:lang w:val="ru-RU"/>
        </w:rPr>
        <w:t xml:space="preserve"> и резервный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переноса данных между станциями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картриджи для принтеров;</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лазерные принтеры и сканеры, дополнительно к настроенным резервным станциям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кабели для подключения принтеров и сканеров к компьютерам (ноутбукам).</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окончании технической подготовки в аудиториях и Штабе ППЭ технический специалист должен в личном кабинете ППЭ передать статус «Техническая подготовка завершена» в систему мониторинга готовности.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ранее чем за 2 рабочих дня, но не позднее 16 часов 00 минут </w:t>
      </w:r>
      <w:r>
        <w:rPr>
          <w:rFonts w:ascii="Tinos" w:hAnsi="Tinos" w:eastAsia="Tinos" w:cs="Tinos"/>
          <w:sz w:val="28"/>
          <w:szCs w:val="28"/>
          <w:highlight w:val="none"/>
          <w:lang w:val="ru-RU"/>
        </w:rPr>
        <w:t xml:space="preserve">календарного дня, предшествующего экзамену, необходимо совместно с членами ГЭК и руководителем ППЭ провести контроль технической готовности ППЭ к проведению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РЦОИ форму ППЭ-01-01-К;</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тиражирование и передать руководителю ППЭ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тиражирование и передать р</w:t>
      </w:r>
      <w:r>
        <w:rPr>
          <w:rFonts w:ascii="Tinos" w:hAnsi="Tinos" w:eastAsia="Tinos" w:cs="Tinos"/>
          <w:sz w:val="28"/>
          <w:szCs w:val="28"/>
          <w:highlight w:val="none"/>
          <w:lang w:val="ru-RU"/>
        </w:rPr>
        <w:t xml:space="preserve">уководителю ППЭ черновики КЕГЭ.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Необходимо обеспечить одностороннюю печать черновиков КЕГЭ, т.к. участники экзамена могут использовать оборотную сторону для записей;</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компьютере (ноутбуке), предназначенном для работы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соединения с личным кабинетом ППЭ по основному и резервному каналам доступа в сеть «Интернет»;</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использования ЗСПД ГИА: проверить наличие связи через </w:t>
      </w:r>
      <w:r>
        <w:rPr>
          <w:rFonts w:ascii="Tinos" w:hAnsi="Tinos" w:eastAsia="Tinos" w:cs="Tinos"/>
          <w:sz w:val="28"/>
          <w:szCs w:val="28"/>
          <w:highlight w:val="none"/>
          <w:lang w:val="ru-RU"/>
        </w:rPr>
        <w:t xml:space="preserve">VipNet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Client</w:t>
      </w:r>
      <w:r>
        <w:rPr>
          <w:rFonts w:ascii="Tinos" w:hAnsi="Tinos" w:eastAsia="Tinos" w:cs="Tinos"/>
          <w:sz w:val="28"/>
          <w:szCs w:val="28"/>
          <w:highlight w:val="none"/>
          <w:lang w:val="ru-RU"/>
        </w:rPr>
        <w:t xml:space="preserve"> с ЗСПД ГИА по основному и резервному каналам связи сети «Интернет»;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при необходимости уточнить: тип основного и резервного каналов доступа в сеть «Интернет» (либо зафиксировать отсутствие резервного канала доступа в сеть Интернет);</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предложить всем членам ГЭК, назначенным на экзамен, выполнить авторизацию с помощью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 результатам авторизации убедиться, что все члены ГЭК имеют назначение на экзамен;</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скачать пакет с сертификатами специалистов РЦОИ для загрузки на все станции КЕГЭ, все станции организатора и все станции Штаба ППЭ, включая основные и резервные;</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подтверждения от РЦОИ по переданному при проведении технической подготовки тестовому пакету сканирования (статус </w:t>
      </w:r>
      <w:r>
        <w:rPr>
          <w:rFonts w:ascii="Tinos" w:hAnsi="Tinos" w:eastAsia="Tinos" w:cs="Tinos"/>
          <w:sz w:val="28"/>
          <w:szCs w:val="28"/>
          <w:highlight w:val="none"/>
          <w:lang w:val="ru-RU"/>
        </w:rPr>
        <w:t xml:space="preserve">тестового пакета сканирования принимает значение «Подтвержден»). В случае изменения настро</w:t>
      </w:r>
      <w:r>
        <w:rPr>
          <w:rFonts w:ascii="Tinos" w:hAnsi="Tinos" w:eastAsia="Tinos" w:cs="Tinos"/>
          <w:sz w:val="28"/>
          <w:szCs w:val="28"/>
          <w:highlight w:val="none"/>
          <w:lang w:val="ru-RU"/>
        </w:rPr>
        <w:t xml:space="preserve">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каждой станции организатора в каждой аудитории, назначенной на экзамен, и резервных станциях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станции: код региона, код ППЭ (впечатываются в бланки регистрации участников экзаменов), номер компьютера – уникальный для ППЭ номер компьютера (ноутбука);</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период проведения экзаменов, предмет и дату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системного времени;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w:t>
      </w:r>
      <w:r>
        <w:rPr>
          <w:rFonts w:ascii="Tinos" w:hAnsi="Tinos" w:eastAsia="Tinos" w:cs="Tinos"/>
          <w:sz w:val="28"/>
          <w:szCs w:val="28"/>
          <w:highlight w:val="none"/>
          <w:lang w:val="ru-RU"/>
        </w:rPr>
        <w:t xml:space="preserve">загруженного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печать калибровочного листа (тестовую печать границ) в присутствии члена ГЭК;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предоставить члену ГЭК напечатанный во время технической подготовки тестовый бланк регистрации. Член ГЭК оценивает качество печати калибровочного листа</w:t>
      </w:r>
      <w:r>
        <w:rPr>
          <w:rFonts w:ascii="Tinos" w:hAnsi="Tinos" w:eastAsia="Tinos" w:cs="Tinos"/>
          <w:sz w:val="28"/>
          <w:szCs w:val="28"/>
          <w:highlight w:val="none"/>
          <w:lang w:val="ru-RU"/>
        </w:rPr>
        <w:t xml:space="preserve"> и тестового бланка регистрации</w:t>
      </w:r>
      <w:r>
        <w:rPr>
          <w:rFonts w:ascii="Tinos" w:hAnsi="Tinos" w:eastAsia="Tinos" w:cs="Tinos"/>
          <w:sz w:val="28"/>
          <w:szCs w:val="28"/>
          <w:highlight w:val="none"/>
          <w:lang w:val="ru-RU"/>
        </w:rPr>
        <w:t xml:space="preserve">. По усмотрению члена ГЭК тестовый бланк регистрации может быть напечатан в его присутствии;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калибровку сканера с использованием напечатанного на станции организатора калибровочного листа (тестовой страницы печати границ) в присутствии члена ГЭК для демонстрации работоспособности сканера и его настройки;</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Напечатанный калибровочный лист (тестовая страница печати границ) передается руководителю ППЭ для последующей передачи организаторам в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пакет с сертификатами специалистов РЦОИ;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работоспособность сре</w:t>
      </w:r>
      <w:r>
        <w:rPr>
          <w:rFonts w:ascii="Tinos" w:hAnsi="Tinos" w:eastAsia="Tinos" w:cs="Tinos"/>
          <w:sz w:val="28"/>
          <w:szCs w:val="28"/>
          <w:highlight w:val="none"/>
          <w:lang w:val="ru-RU"/>
        </w:rPr>
        <w:t xml:space="preserve">дств кр</w:t>
      </w:r>
      <w:r>
        <w:rPr>
          <w:rFonts w:ascii="Tinos" w:hAnsi="Tinos" w:eastAsia="Tinos" w:cs="Tinos"/>
          <w:sz w:val="28"/>
          <w:szCs w:val="28"/>
          <w:highlight w:val="none"/>
          <w:lang w:val="ru-RU"/>
        </w:rPr>
        <w:t xml:space="preserve">иптозащиты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предложить члену ГЭК подключить к станции организатора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ввести пароль доступа к нему. Каждый член ГЭК должен убедиться в работоспособности своего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хотя бы на одной станции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напечатать протокол технической готовности аудитории для печати полного комплекта ЭМ в аудитории ППЭ (форма ППЭ-01-01</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сохранить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электронный акт технической готовности для последующей передачи в систему мониторинга готовности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достаточного количества бумаги для печати бланков регистрации в аудитории.</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Не рекомендуется перемещать станцию организатора с подключенным принтером и сканером или отключать принтер и сканер от компьютера (ноутбука) </w:t>
      </w:r>
      <w:r>
        <w:rPr>
          <w:rFonts w:ascii="Tinos" w:hAnsi="Tinos" w:eastAsia="Tinos" w:cs="Tinos"/>
          <w:sz w:val="28"/>
          <w:szCs w:val="28"/>
          <w:highlight w:val="none"/>
          <w:lang w:val="ru-RU"/>
        </w:rPr>
        <w:t xml:space="preserve">после завершения контроля технической готовности.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каждой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 каждой аудитории, назначенной на экзамен, и резервных станциях КЕГЭ:</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станции: код региона, код ППЭ, номер компьютера</w:t>
      </w:r>
      <w:r>
        <w:rPr>
          <w:rFonts w:ascii="Tinos" w:hAnsi="Tinos" w:eastAsia="Tinos" w:cs="Tinos"/>
          <w:sz w:val="28"/>
          <w:szCs w:val="28"/>
          <w:highlight w:val="none"/>
          <w:lang w:val="ru-RU"/>
        </w:rPr>
        <w:t xml:space="preserve"> (ноутбука)</w:t>
      </w:r>
      <w:r>
        <w:rPr>
          <w:rFonts w:ascii="Tinos" w:hAnsi="Tinos" w:eastAsia="Tinos" w:cs="Tinos"/>
          <w:sz w:val="28"/>
          <w:szCs w:val="28"/>
          <w:highlight w:val="none"/>
          <w:lang w:val="ru-RU"/>
        </w:rPr>
        <w:t xml:space="preserve"> – уникальный для ППЭ номер компьютера (ноутбука);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системного времени;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w:t>
      </w:r>
      <w:r>
        <w:rPr>
          <w:rFonts w:ascii="Tinos" w:hAnsi="Tinos" w:eastAsia="Tinos" w:cs="Tinos"/>
          <w:sz w:val="28"/>
          <w:szCs w:val="28"/>
          <w:highlight w:val="none"/>
          <w:lang w:val="ru-RU"/>
        </w:rPr>
        <w:t xml:space="preserve">загруженного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заданного пути к корневой папке для создания рабочей папки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наличие рабочей папки экзамена по указанному адресу;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контроль корректности функционирования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 части работы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КИМ:</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доступна возможность ввода и сохранения ответа на стандартное задание и на задание с ответом в табличном виде;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доступна возможность сохранения прилагаемых файлов к заданиям, сохраненные файлы содержатся в рабочей папке;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кнопки вызова инструкции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и </w:t>
      </w:r>
      <w:r>
        <w:rPr>
          <w:rFonts w:ascii="Tinos" w:hAnsi="Tinos" w:eastAsia="Tinos" w:cs="Tinos"/>
          <w:sz w:val="28"/>
          <w:szCs w:val="28"/>
          <w:highlight w:val="none"/>
          <w:lang w:val="ru-RU"/>
        </w:rPr>
        <w:t xml:space="preserve">сворачивания станции работоспособны</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у</w:t>
      </w:r>
      <w:r>
        <w:rPr>
          <w:rFonts w:ascii="Tinos" w:hAnsi="Tinos" w:eastAsia="Tinos" w:cs="Tinos"/>
          <w:sz w:val="28"/>
          <w:szCs w:val="28"/>
          <w:highlight w:val="none"/>
          <w:lang w:val="ru-RU"/>
        </w:rPr>
        <w:t xml:space="preserve">бедиться в наличии стандартного ПО, предоставляемого участнику экзамена во время экзамена в соответствии с перечнем, полученным из РЦОИ, и проверить его ра</w:t>
      </w:r>
      <w:r>
        <w:rPr>
          <w:rFonts w:ascii="Tinos" w:hAnsi="Tinos" w:eastAsia="Tinos" w:cs="Tinos"/>
          <w:sz w:val="28"/>
          <w:szCs w:val="28"/>
          <w:highlight w:val="none"/>
          <w:lang w:val="ru-RU"/>
        </w:rPr>
        <w:t xml:space="preserve">ботоспособность одновременно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ПО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я</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КЕГЭ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убедиться, что на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зарегистрировано установленное на компьютере</w:t>
      </w:r>
      <w:r>
        <w:rPr>
          <w:rFonts w:ascii="Tinos" w:hAnsi="Tinos" w:eastAsia="Tinos" w:cs="Tinos"/>
          <w:sz w:val="28"/>
          <w:szCs w:val="28"/>
          <w:highlight w:val="none"/>
          <w:lang w:val="ru-RU"/>
        </w:rPr>
        <w:t xml:space="preserve"> (ноутбуке)</w:t>
      </w:r>
      <w:r>
        <w:rPr>
          <w:rFonts w:ascii="Tinos" w:hAnsi="Tinos" w:eastAsia="Tinos" w:cs="Tinos"/>
          <w:sz w:val="28"/>
          <w:szCs w:val="28"/>
          <w:highlight w:val="none"/>
          <w:lang w:val="ru-RU"/>
        </w:rPr>
        <w:t xml:space="preserve"> стандартное ПО, и что список зарегистрированных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программ в точности совпадает с </w:t>
      </w:r>
      <w:r>
        <w:rPr>
          <w:rFonts w:ascii="Tinos" w:hAnsi="Tinos" w:eastAsia="Tinos" w:cs="Tinos"/>
          <w:sz w:val="28"/>
          <w:szCs w:val="28"/>
          <w:highlight w:val="none"/>
          <w:lang w:val="ru-RU"/>
        </w:rPr>
        <w:t xml:space="preserve">тем</w:t>
      </w:r>
      <w:r>
        <w:rPr>
          <w:rFonts w:ascii="Tinos" w:hAnsi="Tinos" w:eastAsia="Tinos" w:cs="Tinos"/>
          <w:sz w:val="28"/>
          <w:szCs w:val="28"/>
          <w:highlight w:val="none"/>
          <w:lang w:val="ru-RU"/>
        </w:rPr>
        <w:t xml:space="preserve"> ПО, которое установлено на проверяемом компьютере;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отсутствия зарегистрированной среды программирования для одного или нескольких языков программирования из </w:t>
      </w:r>
      <w:r>
        <w:rPr>
          <w:rFonts w:ascii="Tinos" w:hAnsi="Tinos" w:eastAsia="Tinos" w:cs="Tinos"/>
          <w:sz w:val="28"/>
          <w:szCs w:val="28"/>
          <w:highlight w:val="none"/>
          <w:lang w:val="ru-RU"/>
        </w:rPr>
        <w:t xml:space="preserve">числа</w:t>
      </w:r>
      <w:r>
        <w:rPr>
          <w:rFonts w:ascii="Tinos" w:hAnsi="Tinos" w:eastAsia="Tinos" w:cs="Tinos"/>
          <w:sz w:val="28"/>
          <w:szCs w:val="28"/>
          <w:highlight w:val="none"/>
          <w:lang w:val="ru-RU"/>
        </w:rPr>
        <w:t xml:space="preserve"> включенных в Спецификацию КИМ решение о возможности завершения контроля технической готовности принимается членом ГЭК, если отсутствие среды программирования для </w:t>
      </w:r>
      <w:r>
        <w:rPr>
          <w:rFonts w:ascii="Tinos" w:hAnsi="Tinos" w:eastAsia="Tinos" w:cs="Tinos"/>
          <w:sz w:val="28"/>
          <w:szCs w:val="28"/>
          <w:highlight w:val="none"/>
          <w:lang w:val="ru-RU"/>
        </w:rPr>
        <w:t xml:space="preserve">соответствующего языка программирования согласовано Министерством образования области;</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пакет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работоспособность средств криптозащиты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предложить члену ГЭК подключить к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ввести пароль доступа к нему;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сохранить код активации экзамена (кроме резервных станций КЕГЭ) и передать руководителю ППЭ для предоставления организаторам в аудитории (код активации экзамена одинаковый для всех станций КЕГЭ в одной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и сохранить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паспорт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а также электронный акт технической готовности для передачи в систему мониторинга готовности ППЭ. </w:t>
      </w:r>
      <w:r>
        <w:rPr>
          <w:rFonts w:ascii="Tinos" w:hAnsi="Tinos" w:eastAsia="Tinos" w:cs="Tinos"/>
          <w:sz w:val="28"/>
          <w:szCs w:val="28"/>
          <w:highlight w:val="none"/>
          <w:lang w:val="ru-RU"/>
        </w:rPr>
        <w:t xml:space="preserve">Сведения об установленном стандартном ПО, зарегистрированном в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сохраняются в электронном акте технической готовности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w:t>
      </w:r>
      <w:r>
        <w:rPr>
          <w:rFonts w:ascii="Tinos" w:hAnsi="Tinos" w:eastAsia="Tinos" w:cs="Tinos"/>
          <w:sz w:val="28"/>
          <w:szCs w:val="28"/>
          <w:highlight w:val="none"/>
          <w:lang w:val="ru-RU"/>
        </w:rPr>
        <w:t xml:space="preserve">Э</w:t>
      </w:r>
      <w:r>
        <w:rPr>
          <w:rFonts w:ascii="Tinos" w:hAnsi="Tinos" w:eastAsia="Tinos" w:cs="Tinos"/>
          <w:sz w:val="28"/>
          <w:szCs w:val="28"/>
          <w:highlight w:val="none"/>
          <w:lang w:val="ru-RU"/>
        </w:rPr>
        <w:t xml:space="preserve">, а также включаются в приложение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отсутствие (при наличии – удалить) в рабочей папке экзамена (а также в корзине), всех файлов, сохраненных и/или созданных в ходе технической подготовки или во время предыдущих экзаменов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основной и резервной </w:t>
      </w:r>
      <w:r>
        <w:rPr>
          <w:rFonts w:ascii="Tinos" w:hAnsi="Tinos" w:eastAsia="Tinos" w:cs="Tinos"/>
          <w:sz w:val="28"/>
          <w:szCs w:val="28"/>
          <w:highlight w:val="none"/>
          <w:lang w:val="ru-RU"/>
        </w:rPr>
        <w:t xml:space="preserve">станциях Штаба ППЭ</w:t>
      </w:r>
      <w:r>
        <w:rPr>
          <w:rFonts w:ascii="Tinos" w:hAnsi="Tinos" w:eastAsia="Tinos" w:cs="Tinos"/>
          <w:sz w:val="28"/>
          <w:szCs w:val="28"/>
          <w:highlight w:val="none"/>
          <w:lang w:val="ru-RU"/>
        </w:rPr>
        <w:t xml:space="preserve">, установленных в Штабе ППЭ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станции: код региона, код ППЭ, номер компьютера</w:t>
      </w:r>
      <w:r>
        <w:rPr>
          <w:rFonts w:ascii="Tinos" w:hAnsi="Tinos" w:eastAsia="Tinos" w:cs="Tinos"/>
          <w:sz w:val="28"/>
          <w:szCs w:val="28"/>
          <w:highlight w:val="none"/>
          <w:lang w:val="ru-RU"/>
        </w:rPr>
        <w:t xml:space="preserve"> (ноутбука)</w:t>
      </w:r>
      <w:r>
        <w:rPr>
          <w:rFonts w:ascii="Tinos" w:hAnsi="Tinos" w:eastAsia="Tinos" w:cs="Tinos"/>
          <w:sz w:val="28"/>
          <w:szCs w:val="28"/>
          <w:highlight w:val="none"/>
          <w:lang w:val="ru-RU"/>
        </w:rPr>
        <w:t xml:space="preserve"> – уникальный для ППЭ номер компьютера (ноутбука), признак резервной станции для резервной станции;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экзамена по учебному предмету: период проведения экзаменов, учебный предмет и дату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настройки системного времени;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выполнить тестовое сканирование не менее одного из предоставленных тестовых бланков регистрации повторно, а также (при наличии) напечатанных по решению члена ГЭК тестовых бланков 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оценить качество сканирования тестовых бланков регистрации и форм ППЭ: все бланки регистрации и формы ППЭ успешно распознаны и не отмечены как некачественные; черные квадраты (реперы), </w:t>
      </w:r>
      <w:r>
        <w:rPr>
          <w:rFonts w:ascii="Tinos" w:hAnsi="Tinos" w:eastAsia="Tinos" w:cs="Tinos"/>
          <w:sz w:val="28"/>
          <w:szCs w:val="28"/>
          <w:highlight w:val="none"/>
          <w:lang w:val="ru-RU"/>
        </w:rPr>
        <w:t xml:space="preserve">штрихкоды</w:t>
      </w:r>
      <w:r>
        <w:rPr>
          <w:rFonts w:ascii="Tinos" w:hAnsi="Tinos" w:eastAsia="Tinos" w:cs="Tinos"/>
          <w:sz w:val="28"/>
          <w:szCs w:val="28"/>
          <w:highlight w:val="none"/>
          <w:lang w:val="ru-RU"/>
        </w:rPr>
        <w:t xml:space="preserve"> и QR-код, текст хорошо читаемы, знакоместа на бланках регистрации не слишком яркие;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пакет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работоспособность сре</w:t>
      </w:r>
      <w:r>
        <w:rPr>
          <w:rFonts w:ascii="Tinos" w:hAnsi="Tinos" w:eastAsia="Tinos" w:cs="Tinos"/>
          <w:sz w:val="28"/>
          <w:szCs w:val="28"/>
          <w:highlight w:val="none"/>
          <w:lang w:val="ru-RU"/>
        </w:rPr>
        <w:t xml:space="preserve">дств кр</w:t>
      </w:r>
      <w:r>
        <w:rPr>
          <w:rFonts w:ascii="Tinos" w:hAnsi="Tinos" w:eastAsia="Tinos" w:cs="Tinos"/>
          <w:sz w:val="28"/>
          <w:szCs w:val="28"/>
          <w:highlight w:val="none"/>
          <w:lang w:val="ru-RU"/>
        </w:rPr>
        <w:t xml:space="preserve">иптозащиты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предложить члену ГЭК подключить к </w:t>
      </w:r>
      <w:r>
        <w:rPr>
          <w:rFonts w:ascii="Tinos" w:hAnsi="Tinos" w:eastAsia="Tinos" w:cs="Tinos"/>
          <w:sz w:val="28"/>
          <w:szCs w:val="28"/>
          <w:highlight w:val="none"/>
          <w:lang w:val="ru-RU"/>
        </w:rPr>
        <w:t xml:space="preserve">станции Штаба ППЭ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ввести пароль доступа к нему;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сохранить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протокол технической готовности Штаба </w:t>
      </w:r>
      <w:r>
        <w:rPr>
          <w:rFonts w:ascii="Tinos" w:hAnsi="Tinos" w:eastAsia="Tinos" w:cs="Tinos"/>
          <w:sz w:val="28"/>
          <w:szCs w:val="28"/>
          <w:highlight w:val="none"/>
          <w:lang w:val="ru-RU"/>
        </w:rPr>
        <w:t xml:space="preserve">ППЭ для сканирования бланков в ППЭ (форма ППЭ-01-02</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и электронный акт технической готовности для последующей передачи в систему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роверить наличие дополнительного (резервного) оборудования, необходимого для проведения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принтер, который будет использоваться для печати сопроводительной документации к </w:t>
      </w:r>
      <w:r>
        <w:rPr>
          <w:rFonts w:ascii="Tinos" w:hAnsi="Tinos" w:eastAsia="Tinos" w:cs="Tinos"/>
          <w:sz w:val="28"/>
          <w:szCs w:val="28"/>
          <w:highlight w:val="none"/>
          <w:lang w:val="ru-RU"/>
        </w:rPr>
        <w:t xml:space="preserve">флеш-накопителям</w:t>
      </w:r>
      <w:r>
        <w:rPr>
          <w:rFonts w:ascii="Tinos" w:hAnsi="Tinos" w:eastAsia="Tinos" w:cs="Tinos"/>
          <w:sz w:val="28"/>
          <w:szCs w:val="28"/>
          <w:highlight w:val="none"/>
          <w:lang w:val="ru-RU"/>
        </w:rPr>
        <w:t xml:space="preserve"> с ответами участников КЕГЭ (</w:t>
      </w:r>
      <w:r>
        <w:rPr>
          <w:rFonts w:ascii="Tinos" w:hAnsi="Tinos" w:eastAsia="Tinos" w:cs="Tinos"/>
          <w:sz w:val="28"/>
          <w:szCs w:val="28"/>
          <w:highlight w:val="none"/>
          <w:lang w:val="ru-RU"/>
        </w:rPr>
        <w:t xml:space="preserve">может быть использован принтер, подключённый к станции Штаба ППЭ либо принтер, подключённый к любой станции организатора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основной</w:t>
      </w:r>
      <w:r>
        <w:rPr>
          <w:rFonts w:ascii="Tinos" w:hAnsi="Tinos" w:eastAsia="Tinos" w:cs="Tinos"/>
          <w:sz w:val="28"/>
          <w:szCs w:val="28"/>
          <w:highlight w:val="none"/>
          <w:lang w:val="ru-RU"/>
        </w:rPr>
        <w:t xml:space="preserve"> и резервный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переноса данных между станциями ППЭ;</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основные и резервные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сохранения ответов участников КЕГЭ;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картриджи для принтеров;</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лазерные принтеры и сканеры, дополнительно к настроенным резервным станциям организатора; </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кабели для подключения принтеров и сканеров к компьютерам (ноутбукам).</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окончании контроля технической готовности аудиторий и Штаба ППЭ к экзамену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напечатать и подписать паспорта станций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передать для каждого участника КЕГЭ 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(на каждую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ю</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включая резервные) руководителю ППЭ для дальнейшей выдачи организаторам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подписать протокол (протоколы) технической готовн</w:t>
      </w:r>
      <w:r>
        <w:rPr>
          <w:rFonts w:ascii="Tinos" w:hAnsi="Tinos" w:eastAsia="Tinos" w:cs="Tinos"/>
          <w:sz w:val="28"/>
          <w:szCs w:val="28"/>
          <w:highlight w:val="none"/>
          <w:lang w:val="ru-RU"/>
        </w:rPr>
        <w:t xml:space="preserve">ости аудиторий (форма ППЭ-01-01)</w:t>
      </w:r>
      <w:r>
        <w:rPr>
          <w:rFonts w:ascii="Tinos" w:hAnsi="Tinos" w:eastAsia="Tinos" w:cs="Tinos"/>
          <w:sz w:val="28"/>
          <w:szCs w:val="28"/>
          <w:highlight w:val="none"/>
          <w:lang w:val="ru-RU"/>
        </w:rPr>
        <w:t xml:space="preserve">, напечатанные тестовые бланки регистрации являются приложением к соответствующему протоколу;</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напечатать и подписать протокол (протоколы) технической готовн</w:t>
      </w:r>
      <w:r>
        <w:rPr>
          <w:rFonts w:ascii="Tinos" w:hAnsi="Tinos" w:eastAsia="Tinos" w:cs="Tinos"/>
          <w:sz w:val="28"/>
          <w:szCs w:val="28"/>
          <w:highlight w:val="none"/>
          <w:lang w:val="ru-RU"/>
        </w:rPr>
        <w:t xml:space="preserve">ости </w:t>
      </w:r>
      <w:r>
        <w:rPr>
          <w:rFonts w:ascii="Tinos" w:hAnsi="Tinos" w:eastAsia="Tinos" w:cs="Tinos"/>
          <w:sz w:val="28"/>
          <w:szCs w:val="28"/>
          <w:highlight w:val="none"/>
          <w:lang w:val="ru-RU"/>
        </w:rPr>
        <w:t xml:space="preserve">Штаба ППЭ (форма ППЭ-01-02)</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Подписанные паспорта и протоколы остаются на хранение в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и подписать форму ППЭ-01-01-К;</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highlight w:val="none"/>
        </w:rPr>
      </w:pPr>
      <w:r>
        <w:rPr>
          <w:rFonts w:ascii="Tinos" w:hAnsi="Tinos" w:eastAsia="Tinos" w:cs="Tinos"/>
          <w:sz w:val="28"/>
          <w:szCs w:val="28"/>
          <w:highlight w:val="none"/>
          <w:lang w:val="ru-RU"/>
        </w:rPr>
        <w:t xml:space="preserve">в личном кабинете ППЭ передать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highlight w:val="none"/>
        </w:rPr>
      </w:r>
      <w:r>
        <w:rPr>
          <w:rFonts w:ascii="Tinos" w:hAnsi="Tinos" w:cs="Tinos"/>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сформированные по окончании контроля технической готовности электронные акты технической готовности со всех основных и резервных станций КЕГЭ, станций</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организатора  и станций </w:t>
      </w:r>
      <w:r>
        <w:rPr>
          <w:rFonts w:ascii="Tinos" w:hAnsi="Tinos" w:eastAsia="Tinos" w:cs="Tinos"/>
          <w:sz w:val="28"/>
          <w:szCs w:val="28"/>
          <w:highlight w:val="none"/>
          <w:lang w:val="ru-RU"/>
        </w:rPr>
        <w:t xml:space="preserve">Штаба</w:t>
      </w:r>
      <w:r>
        <w:rPr>
          <w:rFonts w:ascii="Tinos" w:hAnsi="Tinos" w:eastAsia="Tinos" w:cs="Tinos"/>
          <w:sz w:val="28"/>
          <w:szCs w:val="28"/>
          <w:highlight w:val="none"/>
          <w:lang w:val="ru-RU"/>
        </w:rPr>
        <w:t xml:space="preserve"> ППЭ</w:t>
      </w:r>
      <w:r>
        <w:rPr>
          <w:rFonts w:ascii="Tinos" w:hAnsi="Tinos" w:cs="Tinos"/>
          <w:sz w:val="28"/>
          <w:szCs w:val="28"/>
          <w:highlight w:val="none"/>
        </w:rPr>
      </w:r>
      <w:r>
        <w:rPr>
          <w:rFonts w:ascii="Tinos" w:hAnsi="Tinos" w:cs="Tinos"/>
          <w:sz w:val="28"/>
          <w:szCs w:val="28"/>
          <w:highlight w:val="none"/>
        </w:rPr>
      </w:r>
    </w:p>
    <w:p>
      <w:pPr>
        <w:pStyle w:val="1003"/>
        <w:numPr>
          <w:ilvl w:val="0"/>
          <w:numId w:val="12"/>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статус «Контроль технической готовности завершён».</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highlight w:val="none"/>
        </w:rPr>
      </w:pPr>
      <w:r>
        <w:rPr>
          <w:rFonts w:ascii="Tinos" w:hAnsi="Tinos" w:eastAsia="Tinos" w:cs="Tinos"/>
          <w:sz w:val="28"/>
          <w:szCs w:val="28"/>
          <w:highlight w:val="none"/>
          <w:lang w:val="ru-RU"/>
        </w:rPr>
        <w:t xml:space="preserve">Важно! Акты основных станций могут быть переданы только при условии наличия на специализированном федеральном портале сведений о рассадке. </w:t>
      </w:r>
      <w:r>
        <w:rPr>
          <w:rFonts w:ascii="Tinos" w:hAnsi="Tinos" w:eastAsia="Tinos" w:cs="Tinos"/>
          <w:sz w:val="28"/>
          <w:szCs w:val="28"/>
          <w:highlight w:val="none"/>
          <w:lang w:val="ru-RU"/>
        </w:rPr>
        <w:t xml:space="preserve">Статус «Контроль технической готовности завершен» может быть передан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при условии наличия на специализиров</w:t>
      </w:r>
      <w:r>
        <w:rPr>
          <w:rFonts w:ascii="Tinos" w:hAnsi="Tinos" w:eastAsia="Tinos" w:cs="Tinos"/>
          <w:sz w:val="28"/>
          <w:szCs w:val="28"/>
          <w:highlight w:val="none"/>
          <w:lang w:val="ru-RU"/>
        </w:rPr>
        <w:t xml:space="preserve">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назначенных участников для каждой аудитории.</w:t>
      </w:r>
      <w:r>
        <w:rPr>
          <w:rFonts w:ascii="Tinos" w:hAnsi="Tinos" w:cs="Tinos"/>
          <w:highlight w:val="none"/>
        </w:rPr>
      </w:r>
      <w:r>
        <w:rPr>
          <w:rFonts w:ascii="Tinos" w:hAnsi="Tinos" w:cs="Tinos"/>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После передачи статуса «Контроль технической готовности завершён»</w:t>
      </w:r>
      <w:r>
        <w:rPr>
          <w:rFonts w:ascii="Tinos" w:hAnsi="Tinos" w:eastAsia="Tinos" w:cs="Tinos"/>
          <w:sz w:val="28"/>
          <w:szCs w:val="28"/>
          <w:highlight w:val="none"/>
          <w:lang w:val="ru-RU"/>
        </w:rPr>
        <w:t xml:space="preserve"> передача электронных актов технической готовности с любых основных станций запрещена. В случае необходимости передать новые акты необходимо сначала отменить статус «Контроль технической готовности завершён», далее передать акты и установить статус заново.</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проведения экзамена технический специалист обязан:</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позднее 09 часов 00 минут</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проверить доступ к </w:t>
      </w:r>
      <w:r>
        <w:rPr>
          <w:rFonts w:ascii="Tinos" w:hAnsi="Tinos" w:eastAsia="Tinos" w:cs="Tinos"/>
          <w:sz w:val="28"/>
          <w:szCs w:val="28"/>
          <w:highlight w:val="none"/>
          <w:lang w:val="ru-RU"/>
        </w:rPr>
        <w:t xml:space="preserve">личному кабинету ППЭ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позднее 09 часов 00 минут запустить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 КЕГЭ</w:t>
      </w:r>
      <w:r>
        <w:rPr>
          <w:rFonts w:ascii="Tinos" w:hAnsi="Tinos" w:eastAsia="Tinos" w:cs="Tinos"/>
          <w:sz w:val="28"/>
          <w:szCs w:val="28"/>
          <w:highlight w:val="none"/>
          <w:lang w:val="ru-RU"/>
        </w:rPr>
        <w:t xml:space="preserve"> во всех аудиториях;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позднее 09 часов 00 минут</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запустить станции организатора во всех аудиториях, включить подключённы</w:t>
      </w:r>
      <w:r>
        <w:rPr>
          <w:rFonts w:ascii="Tinos" w:hAnsi="Tinos" w:eastAsia="Tinos" w:cs="Tinos"/>
          <w:sz w:val="28"/>
          <w:szCs w:val="28"/>
          <w:highlight w:val="none"/>
          <w:lang w:val="ru-RU"/>
        </w:rPr>
        <w:t xml:space="preserve">е</w:t>
      </w:r>
      <w:r>
        <w:rPr>
          <w:rFonts w:ascii="Tinos" w:hAnsi="Tinos" w:eastAsia="Tinos" w:cs="Tinos"/>
          <w:sz w:val="28"/>
          <w:szCs w:val="28"/>
          <w:highlight w:val="none"/>
          <w:lang w:val="ru-RU"/>
        </w:rPr>
        <w:t xml:space="preserve"> к ним принтер и сканер, проверить печать на выбранном принтере </w:t>
      </w:r>
      <w:r>
        <w:rPr>
          <w:rFonts w:ascii="Tinos" w:hAnsi="Tinos" w:eastAsia="Tinos" w:cs="Tinos"/>
          <w:sz w:val="28"/>
          <w:szCs w:val="28"/>
          <w:highlight w:val="none"/>
          <w:lang w:val="ru-RU"/>
        </w:rPr>
        <w:t xml:space="preserve">средствами станции организатора;</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В случае необходимости использования в день экзамена станции организатора или станции КЕГЭ, для которой не был направлен акт технической готовности, необходимо выполнить настройку данной станции как резервной и пере</w:t>
      </w:r>
      <w:r>
        <w:rPr>
          <w:rFonts w:ascii="Tinos" w:hAnsi="Tinos" w:eastAsia="Tinos" w:cs="Tinos"/>
          <w:sz w:val="28"/>
          <w:szCs w:val="28"/>
          <w:highlight w:val="none"/>
          <w:lang w:val="ru-RU"/>
        </w:rPr>
        <w:t xml:space="preserve">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организатора и станций КЕГЭ;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поручению руководителя ППЭ получить и распечатать в присутствии члена ГЭК пакет руководителя ППЭ – в случае использования электронной версии пакета;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09 часов 30 минут в Штабе ППЭ в личном кабинете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 скачать ключ доступа к ЭМ при участии члена ГЭК с </w:t>
      </w:r>
      <w:r>
        <w:rPr>
          <w:rFonts w:ascii="Tinos" w:hAnsi="Tinos" w:eastAsia="Tinos" w:cs="Tinos"/>
          <w:sz w:val="28"/>
          <w:szCs w:val="28"/>
          <w:highlight w:val="none"/>
          <w:lang w:val="ru-RU"/>
        </w:rPr>
        <w:t xml:space="preserve">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записать ключ доступа к ЭМ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загрузить ключ доступа к ЭМ на все станции организатора и все станции КЕГЭ во всех аудиториях</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загрузки ключа доступа к ЭМ член ГЭК выполняет его активацию: подключает к станции организатора или станции КЕГЭ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 После сообщения о завершении работы с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извлекает из компьютера (ноутбука)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направляется совместно с техническим специалистом ППЭ к следующему компьютеру (ноутбуку) или в следующую аудиторию ППЭ.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Техническ</w:t>
      </w:r>
      <w:r>
        <w:rPr>
          <w:rFonts w:ascii="Tinos" w:hAnsi="Tinos" w:eastAsia="Tinos" w:cs="Tinos"/>
          <w:sz w:val="28"/>
          <w:szCs w:val="28"/>
          <w:highlight w:val="none"/>
          <w:lang w:val="ru-RU"/>
        </w:rPr>
        <w:t xml:space="preserve">ий специалист и член ГЭК могут перемещаться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ППЭ, выполняет процедуру активации ключа доступа к ЭМ.</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Кнопку «Прочитать КИМ» на станции КЕГЭ нажимать не нужно – это действие приравнивается к в</w:t>
      </w:r>
      <w:r>
        <w:rPr>
          <w:rFonts w:ascii="Tinos" w:hAnsi="Tinos" w:eastAsia="Tinos" w:cs="Tinos"/>
          <w:sz w:val="28"/>
          <w:szCs w:val="28"/>
          <w:highlight w:val="none"/>
          <w:lang w:val="ru-RU"/>
        </w:rPr>
        <w:t xml:space="preserve">скрытию ЭМ, что запрещено до 10 часов </w:t>
      </w:r>
      <w:r>
        <w:rPr>
          <w:rFonts w:ascii="Tinos" w:hAnsi="Tinos" w:eastAsia="Tinos" w:cs="Tinos"/>
          <w:sz w:val="28"/>
          <w:szCs w:val="28"/>
          <w:highlight w:val="none"/>
          <w:lang w:val="ru-RU"/>
        </w:rPr>
        <w:t xml:space="preserve">00</w:t>
      </w:r>
      <w:r>
        <w:rPr>
          <w:rFonts w:ascii="Tinos" w:hAnsi="Tinos" w:eastAsia="Tinos" w:cs="Tinos"/>
          <w:sz w:val="28"/>
          <w:szCs w:val="28"/>
          <w:highlight w:val="none"/>
          <w:lang w:val="ru-RU"/>
        </w:rPr>
        <w:t xml:space="preserve"> минут</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отсутствии доступа к специализированному федеральному порталу по основному и резервному каналам в 09 часов 35 минут технический специалист информирует члена ГЭК о наличии нештатной ситу</w:t>
      </w:r>
      <w:r>
        <w:rPr>
          <w:rFonts w:ascii="Tinos" w:hAnsi="Tinos" w:eastAsia="Tinos" w:cs="Tinos"/>
          <w:sz w:val="28"/>
          <w:szCs w:val="28"/>
          <w:highlight w:val="none"/>
          <w:lang w:val="ru-RU"/>
        </w:rPr>
        <w:t xml:space="preserve">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Пароли доступа к ЭМ (</w:t>
      </w:r>
      <w:r>
        <w:rPr>
          <w:rFonts w:ascii="Tinos" w:hAnsi="Tinos" w:eastAsia="Tinos" w:cs="Tinos"/>
          <w:sz w:val="28"/>
          <w:szCs w:val="28"/>
          <w:highlight w:val="none"/>
          <w:lang w:val="ru-RU"/>
        </w:rPr>
        <w:t xml:space="preserve">не менее 2 паролей на каждый предмет</w:t>
      </w:r>
      <w:r>
        <w:rPr>
          <w:rFonts w:ascii="Tinos" w:hAnsi="Tinos" w:eastAsia="Tinos" w:cs="Tinos"/>
          <w:sz w:val="28"/>
          <w:szCs w:val="28"/>
          <w:highlight w:val="none"/>
          <w:lang w:val="ru-RU"/>
        </w:rPr>
        <w:t xml:space="preserve">) выдаются не ранее 09 часов </w:t>
      </w:r>
      <w:r>
        <w:rPr>
          <w:rFonts w:ascii="Tinos" w:hAnsi="Tinos" w:eastAsia="Tinos" w:cs="Tinos"/>
          <w:sz w:val="28"/>
          <w:szCs w:val="28"/>
          <w:highlight w:val="none"/>
          <w:lang w:val="ru-RU"/>
        </w:rPr>
        <w:t xml:space="preserve">45 минут, если доступ к специализированному федеральному </w:t>
      </w:r>
      <w:r>
        <w:rPr>
          <w:rFonts w:ascii="Tinos" w:hAnsi="Tinos" w:eastAsia="Tinos" w:cs="Tinos"/>
          <w:sz w:val="28"/>
          <w:szCs w:val="28"/>
          <w:highlight w:val="none"/>
          <w:lang w:val="ru-RU"/>
        </w:rPr>
        <w:t xml:space="preserve">порталу восстановить не удалось;</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получения информации от руководителя ППЭ о завершении печати ЭМ и успешном начале экзамена на всех станциях КЕГЭ во всех аудиториях ППЭ (все участники ввели код активации </w:t>
      </w:r>
      <w:r>
        <w:rPr>
          <w:rFonts w:ascii="Tinos" w:hAnsi="Tinos" w:eastAsia="Tinos" w:cs="Tinos"/>
          <w:sz w:val="28"/>
          <w:szCs w:val="28"/>
          <w:highlight w:val="none"/>
          <w:lang w:val="ru-RU"/>
        </w:rPr>
        <w:t xml:space="preserve">экзамена</w:t>
      </w:r>
      <w:r>
        <w:rPr>
          <w:rFonts w:ascii="Tinos" w:hAnsi="Tinos" w:eastAsia="Tinos" w:cs="Tinos"/>
          <w:sz w:val="28"/>
          <w:szCs w:val="28"/>
          <w:highlight w:val="none"/>
          <w:lang w:val="ru-RU"/>
        </w:rPr>
        <w:t xml:space="preserve"> и перешли к выполнению </w:t>
      </w:r>
      <w:r>
        <w:rPr>
          <w:rFonts w:ascii="Tinos" w:hAnsi="Tinos" w:eastAsia="Tinos" w:cs="Tinos"/>
          <w:sz w:val="28"/>
          <w:szCs w:val="28"/>
          <w:highlight w:val="none"/>
          <w:lang w:val="ru-RU"/>
        </w:rPr>
        <w:t xml:space="preserve">экзаменационной работы</w:t>
      </w:r>
      <w:r>
        <w:rPr>
          <w:rFonts w:ascii="Tinos" w:hAnsi="Tinos" w:eastAsia="Tinos" w:cs="Tinos"/>
          <w:sz w:val="28"/>
          <w:szCs w:val="28"/>
          <w:highlight w:val="none"/>
          <w:lang w:val="ru-RU"/>
        </w:rPr>
        <w:t xml:space="preserve">) технический специалист по указанию руководителя ППЭ в личном кабинете ППЭ передает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статус «Экзамены успешно начались» в систему мониторинга готовности ППЭ в личном кабинете ППЭ.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если в ППЭ до 10 часов </w:t>
      </w:r>
      <w:r>
        <w:rPr>
          <w:rFonts w:ascii="Tinos" w:hAnsi="Tinos" w:eastAsia="Tinos" w:cs="Tinos"/>
          <w:sz w:val="28"/>
          <w:szCs w:val="28"/>
          <w:highlight w:val="none"/>
          <w:lang w:val="ru-RU"/>
        </w:rPr>
        <w:t xml:space="preserve">30</w:t>
      </w:r>
      <w:r>
        <w:rPr>
          <w:rFonts w:ascii="Tinos" w:hAnsi="Tinos" w:eastAsia="Tinos" w:cs="Tinos"/>
          <w:sz w:val="28"/>
          <w:szCs w:val="28"/>
          <w:highlight w:val="none"/>
          <w:lang w:val="ru-RU"/>
        </w:rPr>
        <w:t xml:space="preserve"> минут</w:t>
      </w:r>
      <w:r>
        <w:rPr>
          <w:rFonts w:ascii="Tinos" w:hAnsi="Tinos" w:eastAsia="Tinos" w:cs="Tinos"/>
          <w:sz w:val="28"/>
          <w:szCs w:val="28"/>
          <w:highlight w:val="none"/>
          <w:lang w:val="ru-RU"/>
        </w:rPr>
        <w:t xml:space="preserve"> не явился ни один из распределённых участников экзаменов, технический специалист по указанию руководителя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передаёт статус «Ожидание участника». В случае если после передачи данного статуса в ППЭ является хотя бы один участник</w:t>
      </w:r>
      <w:r>
        <w:rPr>
          <w:rFonts w:ascii="Tinos" w:hAnsi="Tinos" w:eastAsia="Tinos" w:cs="Tinos"/>
          <w:sz w:val="28"/>
          <w:szCs w:val="28"/>
          <w:highlight w:val="none"/>
          <w:lang w:val="ru-RU"/>
        </w:rPr>
        <w:t xml:space="preserve"> и приступает к выполнению экзаменационной работы, статус «Ожидание участников» отменяется и передаётся статус «Экзамены успешно начались» – оба действия выполняются по указанию руководителя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w:t>
      </w:r>
      <w:r>
        <w:rPr>
          <w:rFonts w:ascii="Tinos" w:hAnsi="Tinos" w:eastAsia="Tinos" w:cs="Tinos"/>
          <w:sz w:val="28"/>
          <w:szCs w:val="28"/>
          <w:highlight w:val="none"/>
          <w:lang w:val="ru-RU"/>
        </w:rPr>
        <w:t xml:space="preserve">В случае если никто из распределённых участников не явился в ППЭ, и </w:t>
      </w:r>
      <w:r>
        <w:rPr>
          <w:rFonts w:ascii="Tinos" w:hAnsi="Tinos" w:eastAsia="Tinos" w:cs="Tinos"/>
          <w:sz w:val="28"/>
          <w:szCs w:val="28"/>
          <w:highlight w:val="none"/>
          <w:lang w:val="ru-RU"/>
        </w:rPr>
        <w:t xml:space="preserve">членом ГЭК принято решение о завершении экзамена в ППЭ, статус «Ожидание участников» отменяется и передаётся статус «Экзамен не состоялся» – оба действия выполняются по указанию руководителя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(в случае если в ППЭ есть аудитории, в которые</w:t>
      </w:r>
      <w:r>
        <w:rPr>
          <w:rFonts w:ascii="Tinos" w:hAnsi="Tinos" w:eastAsia="Tinos" w:cs="Tinos"/>
          <w:sz w:val="28"/>
          <w:szCs w:val="28"/>
          <w:highlight w:val="none"/>
          <w:lang w:val="ru-RU"/>
        </w:rPr>
        <w:t xml:space="preserve"> не явил</w:t>
      </w:r>
      <w:r>
        <w:rPr>
          <w:rFonts w:ascii="Tinos" w:hAnsi="Tinos" w:eastAsia="Tinos" w:cs="Tinos"/>
          <w:sz w:val="28"/>
          <w:szCs w:val="28"/>
          <w:highlight w:val="none"/>
          <w:lang w:val="ru-RU"/>
        </w:rPr>
        <w:t xml:space="preserve">ся ни один участник, но при этом есть хотя бы одна аудитория, где экзамен начался, статус «Ожидание участников» не передаётся; после начала экзамена во всех аудиториях, в которые явились участники экзамена, ППЭ передаёт статус «Экзамены успешно начались».)</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Статус «Ожидание участников» – временный, он обязательно должен быть отменён до окончания экзамена. Вместо него должен быть установлен статус «Экзамены успешно начались» либо статус «Экзамен не состоялся».</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если в течение двух часов от начала экзамена</w:t>
      </w:r>
      <w:r>
        <w:rPr>
          <w:rStyle w:val="1000"/>
          <w:rFonts w:ascii="Tinos" w:hAnsi="Tinos" w:eastAsia="Tinos" w:cs="Tinos"/>
          <w:sz w:val="28"/>
          <w:szCs w:val="28"/>
          <w:highlight w:val="none"/>
          <w:lang w:val="ru-RU"/>
        </w:rPr>
        <w:footnoteReference w:id="3"/>
      </w:r>
      <w:r>
        <w:rPr>
          <w:rFonts w:ascii="Tinos" w:hAnsi="Tinos" w:eastAsia="Tinos" w:cs="Tinos"/>
          <w:sz w:val="28"/>
          <w:szCs w:val="28"/>
          <w:highlight w:val="none"/>
          <w:lang w:val="ru-RU"/>
        </w:rPr>
        <w:t xml:space="preserve"> ни один из участников КЕГЭ, распределенных в ППЭ, не явился в ППЭ, член ГЭК по согласованию с председателем ГЭК принимает решение об остановке экзамена в ППЭ. Технический специалист завершает экзамены на всех станциях организатора и станциях КЕ</w:t>
      </w:r>
      <w:r>
        <w:rPr>
          <w:rFonts w:ascii="Tinos" w:hAnsi="Tinos" w:eastAsia="Tinos" w:cs="Tinos"/>
          <w:sz w:val="28"/>
          <w:szCs w:val="28"/>
          <w:highlight w:val="none"/>
          <w:lang w:val="ru-RU"/>
        </w:rPr>
        <w:t xml:space="preserve">ГЭ во всех аудиториях ППЭ, включая резервные станции организатора и станции КЕГЭ. На станциях организатора печатает протоколы использования станции организатора в аудитории ППЭ (форма ППЭ-23-1) и сохраняет электронный журнал работы станции организатора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на станциях КЕГЭ сохраняет электронный журнал работы станции КЕГЭ. Протоколы использования станций организатора в аудитории ППЭ (форма ППЭ-23-1) подписываются те</w:t>
      </w:r>
      <w:r>
        <w:rPr>
          <w:rFonts w:ascii="Tinos" w:hAnsi="Tinos" w:eastAsia="Tinos" w:cs="Tinos"/>
          <w:sz w:val="28"/>
          <w:szCs w:val="28"/>
          <w:highlight w:val="none"/>
          <w:lang w:val="ru-RU"/>
        </w:rPr>
        <w:t xml:space="preserve">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 готовности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В случае отсутствия участников экзамена во всех аудиториях ППЭ технический </w:t>
      </w:r>
      <w:r>
        <w:rPr>
          <w:rFonts w:ascii="Tinos" w:hAnsi="Tinos" w:eastAsia="Tinos" w:cs="Tinos"/>
          <w:sz w:val="28"/>
          <w:szCs w:val="28"/>
          <w:highlight w:val="none"/>
          <w:lang w:val="ru-RU"/>
        </w:rPr>
        <w:t xml:space="preserve">специалист по указанию руководителя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отменяет статус «Ожидание участника» и передает статус «Экзамен не состоялся» в систему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неявки всех распределенных в отдельные аудитории ППЭ участников экзаменов в течение двух часов от начала экзамена и принятия членом ГЭК по согласованию с председателем ГЭК р</w:t>
      </w:r>
      <w:r>
        <w:rPr>
          <w:rFonts w:ascii="Tinos" w:hAnsi="Tinos" w:eastAsia="Tinos" w:cs="Tinos"/>
          <w:sz w:val="28"/>
          <w:szCs w:val="28"/>
          <w:highlight w:val="none"/>
          <w:lang w:val="ru-RU"/>
        </w:rPr>
        <w:t xml:space="preserve">ешения об остановке экзамена в этих аудиториях ППЭ, технический специалист завершает экзамены на станциях организатора, станциях КЕГЭ в этих аудиториях ППЭ, печатает протоколы использования станции организатора в аудитории ППЭ (форма ППЭ-23-01) и сохраняет</w:t>
      </w:r>
      <w:r>
        <w:rPr>
          <w:rFonts w:ascii="Tinos" w:hAnsi="Tinos" w:eastAsia="Tinos" w:cs="Tinos"/>
          <w:sz w:val="28"/>
          <w:szCs w:val="28"/>
          <w:highlight w:val="none"/>
          <w:lang w:val="ru-RU"/>
        </w:rPr>
        <w:t xml:space="preserve"> электронный журнал работы станции организатора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на станциях КЕГЭ сохраняет электронный журнал работы станции КЕГЭ.</w:t>
      </w:r>
      <w:r>
        <w:rPr>
          <w:rFonts w:ascii="Tinos" w:hAnsi="Tinos" w:eastAsia="Tinos" w:cs="Tinos"/>
          <w:sz w:val="28"/>
          <w:szCs w:val="28"/>
          <w:highlight w:val="none"/>
          <w:lang w:val="ru-RU"/>
        </w:rPr>
        <w:t xml:space="preserve"> Протоколы использования станции организатора в аудитории ППЭ (форма ППЭ-23-01)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w:t>
      </w:r>
      <w:r>
        <w:rPr>
          <w:rFonts w:ascii="Tinos" w:hAnsi="Tinos" w:eastAsia="Tinos" w:cs="Tinos"/>
          <w:sz w:val="28"/>
          <w:szCs w:val="28"/>
          <w:highlight w:val="none"/>
          <w:lang w:val="ru-RU"/>
        </w:rPr>
        <w:t xml:space="preserve">систему мониторинга готовности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Действия в случае нештатной ситуации: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недостатка доступных для печати бланков регистрации организатор в аудитории информирует руководителя ППЭ и члена ГЭК (через </w:t>
      </w:r>
      <w:r>
        <w:rPr>
          <w:rFonts w:ascii="Tinos" w:hAnsi="Tinos" w:eastAsia="Tinos" w:cs="Tinos"/>
          <w:sz w:val="28"/>
          <w:szCs w:val="28"/>
          <w:highlight w:val="none"/>
          <w:lang w:val="ru-RU"/>
        </w:rPr>
        <w:t xml:space="preserve">организатора вне аудитории) о необходимости использования резервных бланков регистрации, включенных в состав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 загруженного для проведения экзамена. В этом случае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запросить в Штабе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резервный ключ доступа к ЭМ для </w:t>
      </w:r>
      <w:r>
        <w:rPr>
          <w:rFonts w:ascii="Tinos" w:hAnsi="Tinos" w:eastAsia="Tinos" w:cs="Tinos"/>
          <w:sz w:val="28"/>
          <w:szCs w:val="28"/>
          <w:highlight w:val="none"/>
          <w:lang w:val="ru-RU"/>
        </w:rPr>
        <w:t xml:space="preserve">резервных</w:t>
      </w:r>
      <w:r>
        <w:rPr>
          <w:rFonts w:ascii="Tinos" w:hAnsi="Tinos" w:eastAsia="Tinos" w:cs="Tinos"/>
          <w:sz w:val="28"/>
          <w:szCs w:val="28"/>
          <w:highlight w:val="none"/>
          <w:lang w:val="ru-RU"/>
        </w:rPr>
        <w:t xml:space="preserve"> ЭМ, в запросе указывается учебный предмет, номер аудитории, уникальный номер компьютера (ноутбука), присвоенный задействованной станции организатора, установленной в этой аудитории, количество ИК, которое нужно напечатать;</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записать новый ключ доступа к ЭМ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новый ключ доступа к ЭМ на используемую в аудитории станцию организатора и активировать его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w:t>
      </w:r>
      <w:r>
        <w:rPr>
          <w:rFonts w:ascii="Tinos" w:hAnsi="Tinos" w:eastAsia="Tinos" w:cs="Tinos"/>
          <w:sz w:val="28"/>
          <w:szCs w:val="28"/>
          <w:highlight w:val="none"/>
          <w:lang w:val="ru-RU"/>
        </w:rPr>
        <w:t xml:space="preserve">случае необходимости, повторно получить ранее запрошенный ключ доступа на резервные ЭМ возможно путем скачивания основного ключа доступа к ЭМ.</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Действия в случае сбоя в работе станции организатора описаны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в </w:t>
      </w:r>
      <w:r>
        <w:rPr>
          <w:rFonts w:ascii="Tinos" w:hAnsi="Tinos" w:eastAsia="Tinos" w:cs="Tinos"/>
          <w:sz w:val="28"/>
          <w:szCs w:val="28"/>
          <w:highlight w:val="none"/>
          <w:lang w:val="ru-RU"/>
        </w:rPr>
        <w:t xml:space="preserve">пункте 4.2. </w:t>
      </w:r>
      <w:r>
        <w:rPr>
          <w:rFonts w:ascii="Tinos" w:hAnsi="Tinos" w:eastAsia="Tinos" w:cs="Tinos"/>
          <w:sz w:val="28"/>
          <w:szCs w:val="28"/>
          <w:highlight w:val="none"/>
          <w:lang w:val="ru-RU"/>
        </w:rPr>
        <w:t xml:space="preserve">Инструкци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 технического специалиста в пункте проведения экзаменов при проведении государственной итоговой аттестации по </w:t>
      </w:r>
      <w:r>
        <w:rPr>
          <w:rFonts w:ascii="Tinos" w:hAnsi="Tinos" w:eastAsia="Tinos" w:cs="Tinos"/>
          <w:sz w:val="28"/>
          <w:szCs w:val="28"/>
          <w:highlight w:val="none"/>
          <w:lang w:val="ru-RU"/>
        </w:rPr>
        <w:t xml:space="preserve">образовательным программам среднего общего образования на территории</w:t>
      </w:r>
      <w:r>
        <w:rPr>
          <w:rFonts w:ascii="Tinos" w:hAnsi="Tinos" w:eastAsia="Tinos" w:cs="Tinos"/>
          <w:sz w:val="28"/>
          <w:szCs w:val="28"/>
          <w:highlight w:val="none"/>
          <w:lang w:val="ru-RU"/>
        </w:rPr>
        <w:t xml:space="preserve"> Вологодской области, утвержденной настоящим приказом.</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сбоя в работе станции КЕГЭ и при желании участника экзамена продолжить выполнение экзаменационной работы член ГЭК или </w:t>
      </w:r>
      <w:r>
        <w:rPr>
          <w:rFonts w:ascii="Tinos" w:hAnsi="Tinos" w:eastAsia="Tinos" w:cs="Tinos"/>
          <w:sz w:val="28"/>
          <w:szCs w:val="28"/>
          <w:highlight w:val="none"/>
          <w:lang w:val="ru-RU"/>
        </w:rPr>
        <w:t xml:space="preserve">организатор в аудитории приглашают технического специалиста ППЭ для восстановления работоспособности оборудования и (или) системного ПО и (или) ПО «Станция КЕГЭ» и (или) стандартного ПО, предоставляемого участнику для выполнения заданий</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восстановления работоспособности станции КЕГЭ для продолжения экзамена необходимо присутствие члена ГЭК:</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член ГЭК с использованием своего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активирует ранее загруженный ключ доступа к ЭМ и запускает расшифровку КИМ командой «Прочитать КИМ»;</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странице актива</w:t>
      </w:r>
      <w:r>
        <w:rPr>
          <w:rFonts w:ascii="Tinos" w:hAnsi="Tinos" w:eastAsia="Tinos" w:cs="Tinos"/>
          <w:sz w:val="28"/>
          <w:szCs w:val="28"/>
          <w:highlight w:val="none"/>
          <w:lang w:val="ru-RU"/>
        </w:rPr>
        <w:t xml:space="preserve">ции экзамена член ГЭК и организатор проверяют, что номер бланка регистрации, отображаемый на экране компьютера (ноутбука), соответствует номеру в бумажном бланке регистрации, и предлагают участнику ввести код активации и нажать кнопку «Продолжить экзамен».</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Время выполнения </w:t>
      </w:r>
      <w:r>
        <w:rPr>
          <w:rFonts w:ascii="Tinos" w:hAnsi="Tinos" w:eastAsia="Tinos" w:cs="Tinos"/>
          <w:sz w:val="28"/>
          <w:szCs w:val="28"/>
          <w:highlight w:val="none"/>
          <w:lang w:val="ru-RU"/>
        </w:rPr>
        <w:t xml:space="preserve">экзаменационной работы</w:t>
      </w:r>
      <w:r>
        <w:rPr>
          <w:rFonts w:ascii="Tinos" w:hAnsi="Tinos" w:eastAsia="Tinos" w:cs="Tinos"/>
          <w:sz w:val="28"/>
          <w:szCs w:val="28"/>
          <w:highlight w:val="none"/>
          <w:lang w:val="ru-RU"/>
        </w:rPr>
        <w:t xml:space="preserve"> для участника КЕГЭ не увеличивается, т.к. участник продолжает работу с тем же КИМ КЕГЭ.</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необходимости станция КЕГЭ заменяется на </w:t>
      </w:r>
      <w:r>
        <w:rPr>
          <w:rFonts w:ascii="Tinos" w:hAnsi="Tinos" w:eastAsia="Tinos" w:cs="Tinos"/>
          <w:sz w:val="28"/>
          <w:szCs w:val="28"/>
          <w:highlight w:val="none"/>
          <w:lang w:val="ru-RU"/>
        </w:rPr>
        <w:t xml:space="preserve">резервную</w:t>
      </w:r>
      <w:r>
        <w:rPr>
          <w:rFonts w:ascii="Tinos" w:hAnsi="Tinos" w:eastAsia="Tinos" w:cs="Tinos"/>
          <w:sz w:val="28"/>
          <w:szCs w:val="28"/>
          <w:highlight w:val="none"/>
          <w:lang w:val="ru-RU"/>
        </w:rPr>
        <w:t xml:space="preserve">, в этом случае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у руководителя ППЭ приложение к паспорту станции КЕГЭ для резервной станции КЕГЭ, устанавливаемой в эту аудиторию;</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запросить в Штабе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резервный ключ доступа к ЭМ для резервной станции КЕГЭ, в запросе указывается номер аудитории, уникальный номер компьютера (ноутбука), присвоенный резервной станции КЕГЭ, устанавливаемой в эту аудиторию;</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записать новый ключ доступа к ЭМ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загрузить новый ключ доступа к ЭМ на резервную станцию КЕГЭ, при этом автоматически заполнится номер аудитории, указанный при запросе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предложить члену ГЭК активировать ключ доступа к ЭМ на резервной станции КЕГЭ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и запустить расшифровку КИМ командой «Прочитать КИМ»;</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странице активации экзамен</w:t>
      </w:r>
      <w:r>
        <w:rPr>
          <w:rFonts w:ascii="Tinos" w:hAnsi="Tinos" w:eastAsia="Tinos" w:cs="Tinos"/>
          <w:sz w:val="28"/>
          <w:szCs w:val="28"/>
          <w:highlight w:val="none"/>
          <w:lang w:val="ru-RU"/>
        </w:rPr>
        <w:t xml:space="preserve">а член ГЭК и организатор проверяют, что номер бланка регистрации, отображаемый на экране компьютера (ноутбука), соответствует номеру в бумажном бланке регистрации (тот же номер), и предлагают участнику ввести код активации и нажать кнопку «Начать экзамен».</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необходимости повторно получить ранее запрошенный ключ доступа к ЭМ на резервную станцию КЕГЭ возможно путем повторного скачивания основного ключа доступа к ЭМ.</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невозможности самостоятельного разрешения возникшей нештатной ситуации на станции организатора или станции КЕГЭ, в том числе путем замены оборудования из числа резервного, технический специалист должен записать </w:t>
      </w:r>
      <w:r>
        <w:rPr>
          <w:rFonts w:ascii="Tinos" w:hAnsi="Tinos" w:eastAsia="Tinos" w:cs="Tinos"/>
          <w:sz w:val="28"/>
          <w:szCs w:val="28"/>
          <w:highlight w:val="none"/>
          <w:lang w:val="ru-RU"/>
        </w:rPr>
        <w:t xml:space="preserve">информационное сообщение, код ошибки (если есть), название экрана и описание последнего действия, выполненного на станции организатора или станции КЕГЭ, и обратиться по телефону горячей линии сопровождения ППЭ.</w:t>
      </w:r>
      <w:r>
        <w:rPr>
          <w:rFonts w:ascii="Tinos" w:hAnsi="Tinos" w:eastAsia="Tinos" w:cs="Tinos"/>
          <w:sz w:val="28"/>
          <w:szCs w:val="28"/>
          <w:highlight w:val="none"/>
          <w:lang w:val="ru-RU"/>
        </w:rPr>
        <w:t xml:space="preserve"> При обращении необходимо сообщить: код и наименование субъекта Российской Федерации, код ППЭ, контактный телефон и адрес электронной почты, перечисленную выше информацию о возникшей нештатной ситуации.</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eastAsia="Tinos" w:cs="Tinos"/>
          <w:sz w:val="28"/>
          <w:szCs w:val="28"/>
          <w:highlight w:val="none"/>
        </w:rPr>
      </w:pPr>
      <w:r>
        <w:rPr>
          <w:rFonts w:ascii="Tinos" w:hAnsi="Tinos" w:eastAsia="Tinos" w:cs="Tinos"/>
          <w:sz w:val="28"/>
          <w:szCs w:val="28"/>
          <w:highlight w:val="none"/>
          <w:lang w:val="ru-RU"/>
        </w:rPr>
        <w:t xml:space="preserve">В случае если во время экзамена произошел технический сбой, участнику </w:t>
      </w:r>
      <w:r>
        <w:rPr>
          <w:rFonts w:ascii="Tinos" w:hAnsi="Tinos" w:eastAsia="Tinos" w:cs="Tinos"/>
          <w:sz w:val="28"/>
          <w:szCs w:val="28"/>
          <w:highlight w:val="none"/>
          <w:lang w:val="ru-RU"/>
        </w:rPr>
        <w:t xml:space="preserve">экзамена по его выбору предоставляется право сдать экзамен в тот же день или в резервные сроки (в резервные сроки участнику будет предоставлен новый КИМ КЕ</w:t>
      </w:r>
      <w:r>
        <w:rPr>
          <w:rFonts w:ascii="Tinos" w:hAnsi="Tinos" w:eastAsia="Tinos" w:cs="Tinos"/>
          <w:sz w:val="28"/>
          <w:szCs w:val="28"/>
          <w:highlight w:val="none"/>
          <w:lang w:val="ru-RU"/>
        </w:rPr>
        <w:t xml:space="preserve">ГЭ).</w:t>
      </w:r>
      <w:r>
        <w:rPr>
          <w:rFonts w:ascii="Tinos" w:hAnsi="Tinos" w:eastAsia="Tinos" w:cs="Tinos"/>
          <w:sz w:val="28"/>
          <w:szCs w:val="28"/>
          <w:highlight w:val="none"/>
        </w:rPr>
      </w:r>
      <w:r>
        <w:rPr>
          <w:rFonts w:ascii="Tinos" w:hAnsi="Tinos" w:eastAsia="Tinos" w:cs="Tinos"/>
          <w:sz w:val="28"/>
          <w:szCs w:val="28"/>
          <w:highlight w:val="none"/>
        </w:rPr>
      </w:r>
    </w:p>
    <w:p>
      <w:pPr>
        <w:ind w:left="-15" w:right="-1"/>
        <w:spacing w:before="0" w:beforeAutospacing="0" w:after="0" w:afterAutospacing="0" w:line="240" w:lineRule="auto"/>
        <w:rPr>
          <w:highlight w:val="none"/>
        </w:rPr>
      </w:pPr>
      <w:r>
        <w:rPr>
          <w:rFonts w:ascii="Tinos" w:hAnsi="Tinos" w:eastAsia="Tinos" w:cs="Tinos"/>
          <w:sz w:val="28"/>
          <w:szCs w:val="28"/>
          <w:highlight w:val="none"/>
          <w:lang w:val="ru-RU"/>
        </w:rPr>
        <w:t xml:space="preserve">Вышедшую из строя станцию КЕГЭ оставить в данной аудитории в зоне </w:t>
      </w:r>
      <w:r>
        <w:rPr>
          <w:rFonts w:ascii="Tinos" w:hAnsi="Tinos" w:eastAsia="Tinos" w:cs="Tinos"/>
          <w:sz w:val="28"/>
          <w:szCs w:val="28"/>
          <w:highlight w:val="none"/>
          <w:lang w:val="ru-RU"/>
        </w:rPr>
        <w:t xml:space="preserve">видимости камер видеонаблюдения до окончания экзамена.</w:t>
      </w:r>
      <w:r>
        <w:rPr>
          <w:rFonts w:ascii="Tinos" w:hAnsi="Tinos" w:eastAsia="Tinos" w:cs="Tinos"/>
          <w:sz w:val="28"/>
          <w:szCs w:val="28"/>
          <w:highlight w:val="none"/>
          <w:lang w:val="ru-RU"/>
        </w:rPr>
      </w:r>
      <w:r>
        <w:rPr>
          <w:highlight w:val="none"/>
        </w:rPr>
      </w:r>
    </w:p>
    <w:p>
      <w:pPr>
        <w:pStyle w:val="1003"/>
        <w:numPr>
          <w:ilvl w:val="1"/>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выполне</w:t>
      </w:r>
      <w:r>
        <w:rPr>
          <w:rFonts w:ascii="Tinos" w:hAnsi="Tinos" w:eastAsia="Tinos" w:cs="Tinos"/>
          <w:sz w:val="28"/>
          <w:szCs w:val="28"/>
          <w:highlight w:val="none"/>
          <w:lang w:val="ru-RU"/>
        </w:rPr>
        <w:t xml:space="preserve">ния экзаменационной работы участниками экзамена во всех аудиториях ППЭ (все участники экзамена покинули аудитории)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Технический специалист по указанию руководителя ППЭ в личном кабинете ППЭ передает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статус «Экзамены завершены» в систему мониторинга готовности ППЭ в личном кабинете ППЭ и ожидает завершения процедуры сканирования ЭМ в аудиториях.</w:t>
      </w:r>
      <w:r>
        <w:rPr>
          <w:rFonts w:ascii="Tinos" w:hAnsi="Tinos" w:cs="Tinos"/>
          <w:sz w:val="28"/>
          <w:szCs w:val="28"/>
          <w:highlight w:val="none"/>
        </w:rPr>
      </w:r>
      <w:r>
        <w:rPr>
          <w:rFonts w:ascii="Tinos" w:hAnsi="Tinos" w:cs="Tinos"/>
          <w:sz w:val="28"/>
          <w:szCs w:val="28"/>
          <w:highlight w:val="none"/>
        </w:rPr>
      </w:r>
    </w:p>
    <w:p>
      <w:pPr>
        <w:pStyle w:val="1003"/>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Данные, содержащие ответы участников экзамена, переносятся на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сохранения ответов участников КЕГЭ для формирования пакетов и передачи их в РЦОИ для дальнейшей обработки. Количество </w:t>
      </w:r>
      <w:r>
        <w:rPr>
          <w:rFonts w:ascii="Tinos" w:hAnsi="Tinos" w:eastAsia="Tinos" w:cs="Tinos"/>
          <w:sz w:val="28"/>
          <w:szCs w:val="28"/>
          <w:highlight w:val="none"/>
          <w:lang w:val="ru-RU"/>
        </w:rPr>
        <w:t xml:space="preserve">флеш-накопителей</w:t>
      </w:r>
      <w:r>
        <w:rPr>
          <w:rFonts w:ascii="Tinos" w:hAnsi="Tinos" w:eastAsia="Tinos" w:cs="Tinos"/>
          <w:sz w:val="28"/>
          <w:szCs w:val="28"/>
          <w:highlight w:val="none"/>
          <w:lang w:val="ru-RU"/>
        </w:rPr>
        <w:t xml:space="preserve"> определяется в соответствии с количеством технических специалистов, выполняющих сбор ответов участников, и размером </w:t>
      </w:r>
      <w:r>
        <w:rPr>
          <w:rFonts w:ascii="Tinos" w:hAnsi="Tinos" w:eastAsia="Tinos" w:cs="Tinos"/>
          <w:sz w:val="28"/>
          <w:szCs w:val="28"/>
          <w:highlight w:val="none"/>
          <w:lang w:val="ru-RU"/>
        </w:rPr>
        <w:t xml:space="preserve">флеш-накопителей</w:t>
      </w:r>
      <w:r>
        <w:rPr>
          <w:rFonts w:ascii="Tinos" w:hAnsi="Tinos" w:eastAsia="Tinos" w:cs="Tinos"/>
          <w:sz w:val="28"/>
          <w:szCs w:val="28"/>
          <w:highlight w:val="none"/>
          <w:lang w:val="ru-RU"/>
        </w:rPr>
        <w:t xml:space="preserve">, при этом необходимо учитывать, что ответы из одной аудитории не должны быть сохранены </w:t>
      </w:r>
      <w:r>
        <w:rPr>
          <w:rFonts w:ascii="Tinos" w:hAnsi="Tinos" w:eastAsia="Tinos" w:cs="Tinos"/>
          <w:sz w:val="28"/>
          <w:szCs w:val="28"/>
          <w:highlight w:val="none"/>
          <w:lang w:val="ru-RU"/>
        </w:rPr>
        <w:t xml:space="preserve">на</w:t>
      </w:r>
      <w:r>
        <w:rPr>
          <w:rFonts w:ascii="Tinos" w:hAnsi="Tinos" w:eastAsia="Tinos" w:cs="Tinos"/>
          <w:sz w:val="28"/>
          <w:szCs w:val="28"/>
          <w:highlight w:val="none"/>
          <w:lang w:val="ru-RU"/>
        </w:rPr>
        <w:t xml:space="preserve"> разных </w:t>
      </w:r>
      <w:r>
        <w:rPr>
          <w:rFonts w:ascii="Tinos" w:hAnsi="Tinos" w:eastAsia="Tinos" w:cs="Tinos"/>
          <w:sz w:val="28"/>
          <w:szCs w:val="28"/>
          <w:highlight w:val="none"/>
          <w:lang w:val="ru-RU"/>
        </w:rPr>
        <w:t xml:space="preserve">флеш-накопителях</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каждой аудитории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w:t>
      </w:r>
      <w:r>
        <w:rPr>
          <w:rFonts w:ascii="Tinos" w:hAnsi="Tinos" w:eastAsia="Tinos" w:cs="Tinos"/>
          <w:sz w:val="28"/>
          <w:szCs w:val="28"/>
          <w:highlight w:val="none"/>
          <w:lang w:val="ru-RU"/>
        </w:rPr>
        <w:t xml:space="preserve">вершить экзамен на замененных станциях КЕГЭ (при наличии), сохранить электронный журнал работы станции КЕГЭ для передачи в систему мониторинга готовности ППЭ (при возможности), сохранение ответов участника экзамена с замененной станции КЕГЭ не выполняется;</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завершить экзамен на остальных станциях КЕГЭ, выполнить сохранение ответов участников экзамена на каждой станции КЕГЭ, включая резервные станции, задействованные при проведении экзамена,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сохранения ответов участников КЕГЭ, одновременно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сохраняется электронный журнал работы станции КЕГЭ для последующей передачи в систему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для сохранения ответов со станций КЕГЭ, на которых работали удалённые из ППЭ или не завершившие экзамен по объективным причинам участники КЕГЭ (а также участники, отказавшиеся подтверди</w:t>
      </w:r>
      <w:r>
        <w:rPr>
          <w:rFonts w:ascii="Tinos" w:hAnsi="Tinos" w:eastAsia="Tinos" w:cs="Tinos"/>
          <w:sz w:val="28"/>
          <w:szCs w:val="28"/>
          <w:highlight w:val="none"/>
          <w:lang w:val="ru-RU"/>
        </w:rPr>
        <w:t xml:space="preserve">ть ознакомление с протоколом ответов участника КЕГЭ), в присутствии члена ГЭК нажать на ссылку «Участник не завершил или был удалён» для перехода на страницу «Экзамен закончен» (в протоколе ответов участника экзамена дата ознакомления будет отсутствовать);</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сохранения всех ответов участников КЕГЭ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сохранения ответов участников КЕГЭ пригласить члена ГЭК с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для формирования (экспорта) пакета с ответами участников КЕГЭ для передачи 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присутствии члена ГЭК подключить к станции КЕГЭ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с сохраненными ответами участников КЕГЭ и выполнить проверку сохраненных ответов;</w:t>
      </w:r>
      <w:r>
        <w:rPr>
          <w:rFonts w:ascii="Tinos" w:hAnsi="Tinos" w:cs="Tinos"/>
          <w:sz w:val="28"/>
          <w:szCs w:val="28"/>
          <w:highlight w:val="none"/>
        </w:rPr>
      </w:r>
      <w:r>
        <w:rPr>
          <w:rFonts w:ascii="Tinos" w:hAnsi="Tinos" w:cs="Tinos"/>
          <w:sz w:val="28"/>
          <w:szCs w:val="28"/>
          <w:highlight w:val="none"/>
        </w:rPr>
      </w:r>
    </w:p>
    <w:p>
      <w:pPr>
        <w:ind w:left="-15" w:right="-1" w:firstLine="72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Для выполнения действия необходимо выбрать станцию КЕГЭ, имеющую два свободных USB-порта. В случае использования USB-концентратора рекомендуется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подключать непосредственно в USB-порт компьютера (ноутбука), 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через USB-концентратор;</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отсутствия нештатных ситуаций в результате выполненной проверки предложить члену ГЭК подключить к станции КЕГЭ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и ввести пароль к нему;</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запустить по указанию члена ГЭК формирование (экспорт) пакета.</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Нельзя отключать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до окончания формирования (экспорта) пакета.</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Пакет формируется на основе всех сохраненных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ответов участников КЕГЭ. Одновременно выполняется формирование и сохранение сопроводительного бланка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включающего сведения о со</w:t>
      </w:r>
      <w:r>
        <w:rPr>
          <w:rFonts w:ascii="Tinos" w:hAnsi="Tinos" w:eastAsia="Tinos" w:cs="Tinos"/>
          <w:sz w:val="28"/>
          <w:szCs w:val="28"/>
          <w:highlight w:val="none"/>
          <w:lang w:val="ru-RU"/>
        </w:rPr>
        <w:t xml:space="preserve">держании сформированного пакета;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w:t>
      </w:r>
      <w:r>
        <w:rPr>
          <w:rFonts w:ascii="Tinos" w:hAnsi="Tinos" w:eastAsia="Tinos" w:cs="Tinos"/>
          <w:sz w:val="28"/>
          <w:szCs w:val="28"/>
          <w:highlight w:val="none"/>
          <w:lang w:val="ru-RU"/>
        </w:rPr>
        <w:t xml:space="preserve">аспечатать и подписать сопроводительный бланк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для сохранения ответов участников КЕГЭ. Указанный сопроводительный бланк может быть распечатан на любом компьютере (ноутбуке) с подключенным принтером.</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Каждый пакет должен храниться и передаваться на том </w:t>
      </w:r>
      <w:r>
        <w:rPr>
          <w:rFonts w:ascii="Tinos" w:hAnsi="Tinos" w:eastAsia="Tinos" w:cs="Tinos"/>
          <w:sz w:val="28"/>
          <w:szCs w:val="28"/>
          <w:highlight w:val="none"/>
          <w:lang w:val="ru-RU"/>
        </w:rPr>
        <w:t xml:space="preserve">флеш-накопителе</w:t>
      </w:r>
      <w:r>
        <w:rPr>
          <w:rFonts w:ascii="Tinos" w:hAnsi="Tinos" w:eastAsia="Tinos" w:cs="Tinos"/>
          <w:sz w:val="28"/>
          <w:szCs w:val="28"/>
          <w:highlight w:val="none"/>
          <w:lang w:val="ru-RU"/>
        </w:rPr>
        <w:t xml:space="preserve">, на котором он был создан. Недопустимо копировать или перемещать пакеты с ответами участников экзамена с одного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на другой (копировать несколько пакетов на один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В случае наличия на </w:t>
      </w:r>
      <w:r>
        <w:rPr>
          <w:rFonts w:ascii="Tinos" w:hAnsi="Tinos" w:eastAsia="Tinos" w:cs="Tinos"/>
          <w:sz w:val="28"/>
          <w:szCs w:val="28"/>
          <w:highlight w:val="none"/>
          <w:lang w:val="ru-RU"/>
        </w:rPr>
        <w:t xml:space="preserve">флеш-накопителе</w:t>
      </w:r>
      <w:r>
        <w:rPr>
          <w:rFonts w:ascii="Tinos" w:hAnsi="Tinos" w:eastAsia="Tinos" w:cs="Tinos"/>
          <w:sz w:val="28"/>
          <w:szCs w:val="28"/>
          <w:highlight w:val="none"/>
          <w:lang w:val="ru-RU"/>
        </w:rPr>
        <w:t xml:space="preserve"> ранее сформированного пакета и/или сопроводительного бланка они будут удалены.</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наличия в результате выполненной проверки сообщений о поврежденных файлах ответов участников КЕГЭ принять меры для повторного сохранения ответов участников КЕГЭ с соответствующих станций КЕГЭ.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получения информации от организаторов в аудитории о завершении сканирования бланков</w:t>
      </w:r>
      <w:r>
        <w:rPr>
          <w:rFonts w:ascii="Tinos" w:hAnsi="Tinos" w:eastAsia="Tinos" w:cs="Tinos"/>
          <w:sz w:val="28"/>
          <w:szCs w:val="28"/>
          <w:highlight w:val="none"/>
          <w:lang w:val="ru-RU"/>
        </w:rPr>
        <w:t xml:space="preserve"> регистрации участников и форм ППЭ, сканируемых в аудитории, технический специалист совместно с членом ГЭК проходит по аудиториям для формирования пакета с электронными образами бланков регистрации и форм ППЭ и завершения экзамена на станциях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w:t>
      </w:r>
      <w:r>
        <w:rPr>
          <w:rFonts w:ascii="Tinos" w:hAnsi="Tinos" w:eastAsia="Tinos" w:cs="Tinos"/>
          <w:sz w:val="28"/>
          <w:szCs w:val="28"/>
          <w:highlight w:val="none"/>
          <w:lang w:val="ru-RU"/>
        </w:rPr>
        <w:t xml:space="preserve"> членом ГЭК и организаторами проверяет, что экспортируемые данные не содержат особых ситуаций и сверяет данные о количестве отсканированных бланков регистрации, указанном на станции организатора, с количеством бланков регистрации, указанном в форме ППЭ-11;</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если все данные по аудитории корректны, предлагает члену ГЭК подключить к станции организатора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выполняет экспорт электронных образов бланков регистрации и форм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сохраняет пакет с электронными образами бланков регистрации и форм ППЭ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организаторами в аудитории печатает и подписывает протокол печати ЭМ в аудитории (форма ППЭ-23), и протокол проведения процедуры сканирования бланков в аудитории ППЭ (форма ППЭ-15), сохраняет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электронный журнал работы станции организатора.</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Печать протоколов и сохранение электронного журнала работы станции организатора выполняется также на станциях организатора, замененных в ходе экзамена на резервные, и на резервных станциях организатора, не использованных на экзамене.</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сохранения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пакетов с электронными образами бланков участников и формами ППЭ со всех станций организатора и завершения экзамена на всех станциях орга</w:t>
      </w:r>
      <w:r>
        <w:rPr>
          <w:rFonts w:ascii="Tinos" w:hAnsi="Tinos" w:eastAsia="Tinos" w:cs="Tinos"/>
          <w:sz w:val="28"/>
          <w:szCs w:val="28"/>
          <w:highlight w:val="none"/>
          <w:lang w:val="ru-RU"/>
        </w:rPr>
        <w:t xml:space="preserve">низатора, включая резервные, электронных журналов работы со всех станций организатора во всех аудиториях, включая замененные и резервные станции (электронные журналы станций КЕГЭ были сохранены ранее при сохранении ответов участников экзамена), технический</w:t>
      </w:r>
      <w:r>
        <w:rPr>
          <w:rFonts w:ascii="Tinos" w:hAnsi="Tinos" w:eastAsia="Tinos" w:cs="Tinos"/>
          <w:sz w:val="28"/>
          <w:szCs w:val="28"/>
          <w:highlight w:val="none"/>
          <w:lang w:val="ru-RU"/>
        </w:rPr>
        <w:t xml:space="preserve"> специалист прибывает в Штаб ППЭ, в котором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передать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каждой аудитории) с ответами участников КЕГЭ и напечатанный сопроводительный бланк (бланки) руководителю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сверки руководителем ППЭ и членом ГЭК данных сопроводительного бланка (бланков)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с ответами участников КЕГЭ с ведомостями сдачи экзамена в аудиториях получить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каждой аудитории) с ответами участников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 при по согласованию с руководителем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загрузить пакет (пакеты последовательно для каждого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с ответами участников КЕГЭ (могут быть переданы вместе с пакетом (пакетами) </w:t>
      </w:r>
      <w:r>
        <w:rPr>
          <w:rFonts w:ascii="Tinos" w:hAnsi="Tinos" w:eastAsia="Tinos" w:cs="Tinos"/>
          <w:sz w:val="28"/>
          <w:szCs w:val="28"/>
          <w:highlight w:val="none"/>
          <w:lang w:val="ru-RU"/>
        </w:rPr>
        <w:t xml:space="preserve">c</w:t>
      </w:r>
      <w:r>
        <w:rPr>
          <w:rFonts w:ascii="Tinos" w:hAnsi="Tinos" w:eastAsia="Tinos" w:cs="Tinos"/>
          <w:sz w:val="28"/>
          <w:szCs w:val="28"/>
          <w:highlight w:val="none"/>
          <w:lang w:val="ru-RU"/>
        </w:rPr>
        <w:t xml:space="preserve"> электронными образами бланков и форм ППЭ после завершения процедуры сканирования);</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 передать при участии члена ГЭК с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электронные журналы всех основных и резервных станций организатора и станций КЕГЭ в систему мониторинга готовности ППЭ (передачу журналов станций КЕГЭ следует выполнять только после подтверждения получения пакетов с ответами участников КЕГЭ).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необходимости повторной передачи ответов участников из ППЭ в РЦОИ для отдельной станции (станций) необходимо выполнить выгрузку ответов участников КЕГЭ с соответствующей станции (станций) на тот же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с последующ</w:t>
      </w:r>
      <w:r>
        <w:rPr>
          <w:rFonts w:ascii="Tinos" w:hAnsi="Tinos" w:eastAsia="Tinos" w:cs="Tinos"/>
          <w:sz w:val="28"/>
          <w:szCs w:val="28"/>
          <w:highlight w:val="none"/>
          <w:lang w:val="ru-RU"/>
        </w:rPr>
        <w:t xml:space="preserve">им формированием пакета (пакетов) для передачи в РЦОИ. В этом случае в состав пакета (пакетов) попадут все сохраненные ответы, включая обновленные ответы запрошенных станций и ранее переданные ответы остальных станций, новый пакет заменит ранее переданный.</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Обеспечение сканирования форм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начала сканирования на станции Штаба ППЭ технический специалист должен загрузить ключ доступа к ЭМ, содержащий сведения о </w:t>
      </w:r>
      <w:r>
        <w:rPr>
          <w:rFonts w:ascii="Tinos" w:hAnsi="Tinos" w:eastAsia="Tinos" w:cs="Tinos"/>
          <w:sz w:val="28"/>
          <w:szCs w:val="28"/>
          <w:highlight w:val="none"/>
          <w:lang w:val="ru-RU"/>
        </w:rPr>
        <w:t xml:space="preserve">распределении участников по аудиториям, ключ доступа к ЭМ должен быть активирован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w:t>
      </w:r>
      <w:r>
        <w:rPr>
          <w:rFonts w:ascii="Tinos" w:hAnsi="Tinos" w:eastAsia="Tinos" w:cs="Tinos"/>
          <w:sz w:val="28"/>
          <w:szCs w:val="28"/>
          <w:highlight w:val="none"/>
          <w:lang w:val="ru-RU"/>
        </w:rPr>
        <w:t xml:space="preserve">Активация станции Штаба ППЭ должна быть выполнена непосредственно перед началом процесса сканирования ЭМ, поступающих из аудиторий в Штаб ППЭ.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Загрузка журналов работы станции организатора на станцию Штаба ППЭ в случае сканирования форм ППЭ не выполняется.</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заполнения всех форм ППЭ технический специалист получает от руководителя ППЭ для сканирования следующие формы ППЭ: </w:t>
      </w:r>
      <w:r>
        <w:rPr>
          <w:rFonts w:ascii="Tinos" w:hAnsi="Tinos" w:eastAsia="Tinos" w:cs="Tinos"/>
          <w:sz w:val="28"/>
          <w:szCs w:val="28"/>
          <w:highlight w:val="none"/>
          <w:lang w:val="ru-RU"/>
        </w:rPr>
        <w:t xml:space="preserve">ППЭ-07, </w:t>
      </w:r>
      <w:r>
        <w:rPr>
          <w:rFonts w:ascii="Tinos" w:hAnsi="Tinos" w:eastAsia="Tinos" w:cs="Tinos"/>
          <w:sz w:val="28"/>
          <w:szCs w:val="28"/>
          <w:highlight w:val="none"/>
          <w:lang w:val="ru-RU"/>
        </w:rPr>
        <w:t xml:space="preserve">ППЭ-10, 13-01-К, </w:t>
      </w:r>
      <w:r>
        <w:rPr>
          <w:rFonts w:ascii="Tinos" w:hAnsi="Tinos" w:eastAsia="Tinos" w:cs="Tinos"/>
          <w:sz w:val="28"/>
          <w:szCs w:val="28"/>
          <w:highlight w:val="none"/>
          <w:lang w:val="ru-RU"/>
        </w:rPr>
        <w:t xml:space="preserve">ППЭ 13-03-К,</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 14-01-К,</w:t>
      </w:r>
      <w:r>
        <w:rPr>
          <w:rFonts w:ascii="Tinos" w:hAnsi="Tinos" w:eastAsia="Tinos" w:cs="Tinos"/>
          <w:sz w:val="28"/>
          <w:szCs w:val="28"/>
          <w:highlight w:val="none"/>
          <w:lang w:val="ru-RU"/>
        </w:rPr>
        <w:t xml:space="preserve"> ППЭ-14-02-К,</w:t>
      </w:r>
      <w:r>
        <w:rPr>
          <w:rFonts w:ascii="Tinos" w:hAnsi="Tinos" w:eastAsia="Tinos" w:cs="Tinos"/>
          <w:sz w:val="28"/>
          <w:szCs w:val="28"/>
          <w:highlight w:val="none"/>
          <w:lang w:val="ru-RU"/>
        </w:rPr>
        <w:t xml:space="preserve"> ППЭ-18-МАШ (при наличии), ППЭ-19 (при наличии), ППЭ-21 (при наличии), ППЭ-21-1 (при наличии), ППЭ-22 (при наличии)</w:t>
      </w:r>
      <w:r>
        <w:rPr>
          <w:rFonts w:ascii="Tinos" w:hAnsi="Tinos" w:eastAsia="Tinos" w:cs="Tinos"/>
          <w:sz w:val="28"/>
          <w:szCs w:val="28"/>
          <w:highlight w:val="none"/>
          <w:lang w:val="ru-RU"/>
        </w:rPr>
        <w:t xml:space="preserve">, а также сопроводительный (</w:t>
      </w:r>
      <w:r>
        <w:rPr>
          <w:rFonts w:ascii="Tinos" w:hAnsi="Tinos" w:eastAsia="Tinos" w:cs="Tinos"/>
          <w:sz w:val="28"/>
          <w:szCs w:val="28"/>
          <w:highlight w:val="none"/>
          <w:lang w:val="ru-RU"/>
        </w:rPr>
        <w:t xml:space="preserve">ые</w:t>
      </w:r>
      <w:r>
        <w:rPr>
          <w:rFonts w:ascii="Tinos" w:hAnsi="Tinos" w:eastAsia="Tinos" w:cs="Tinos"/>
          <w:sz w:val="28"/>
          <w:szCs w:val="28"/>
          <w:highlight w:val="none"/>
          <w:lang w:val="ru-RU"/>
        </w:rPr>
        <w:t xml:space="preserve">) блан</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и)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флеш-накопителям</w:t>
      </w:r>
      <w:r>
        <w:rPr>
          <w:rFonts w:ascii="Tinos" w:hAnsi="Tinos" w:eastAsia="Tinos" w:cs="Tinos"/>
          <w:sz w:val="28"/>
          <w:szCs w:val="28"/>
          <w:highlight w:val="none"/>
          <w:lang w:val="ru-RU"/>
        </w:rPr>
        <w:t xml:space="preserve"> из каждой аудитории) с ответами участников КЕГЭ.</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Также передаются для сканирования материалы апелляций о нарушении Порядка (формы ППЭ-02 и ППЭ-03 (при наличии).</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Не сканируются в Штабе ППЭ следующие формы ППЭ, отсканированные в аудиториях ППЭ: ППЭ-05-02-К, ППЭ-12-02 (при наличии), ППЭ-12-04-МАШ.</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Технический специалист выполняет калибровку станции Штаба ППЭ на эталонном калибровочном листе (при необходимости), а затем сканирует полученные формы ППЭ и после сканирования возвращает их руководителю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Член ГЭК по приглашению технического специалиста ППЭ проверяет, что экспортируемые данные не содержат особых ситуаций.</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Член ГЭК несет ответственность за качество сканирования и соответствие передаваемых данных информации о рассадке.</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Если все данные корректны, член ГЭК подключает к станции Штаба ППЭ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 после чего технический специалист выполняет экспорт электронных образов форм ППЭ: пакет с электронными образами форм ППЭ зашифровывается для передачи в РЦОИ.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Технический специалист сохраняет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пакет с электронными образами форм ППЭ, и при участии руководителя ППЭ выполняет передачу на сервер РЦОИ с помощью личного кабинета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загружает пакет (пакеты) с электронными образами бланков регистрации и форм ППЭ, сформированных на всех станциях орг</w:t>
      </w:r>
      <w:r>
        <w:rPr>
          <w:rFonts w:ascii="Tinos" w:hAnsi="Tinos" w:eastAsia="Tinos" w:cs="Tinos"/>
          <w:sz w:val="28"/>
          <w:szCs w:val="28"/>
          <w:highlight w:val="none"/>
          <w:lang w:val="ru-RU"/>
        </w:rPr>
        <w:t xml:space="preserve">анизатора и станции Штаба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пакет (пакеты) с ответами участников КЕГЭ (если не были переданы ранее, пакет (пакеты) с ответами участников КЕГЭ может быть передан после завершения сверки руководителем ППЭ и членом ГЭК данных сопроводительного бланка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с ведомостями сдачи экзамена в аудиториях до завершения сканирования бланков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 участии члена ГЭК и руководителя ППЭ проверяет соответствие загруженных пакетов информации о рассадке;</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передает успешно загруженные пакеты в РЦОИ (статус пакетов принимает значение «Направлен в РЦОИ»). В случае возникновения нештатной ситуации, </w:t>
      </w:r>
      <w:r>
        <w:rPr>
          <w:rFonts w:ascii="Tinos" w:hAnsi="Tinos" w:eastAsia="Tinos" w:cs="Tinos"/>
          <w:sz w:val="28"/>
          <w:szCs w:val="28"/>
          <w:highlight w:val="none"/>
          <w:lang w:val="ru-RU"/>
        </w:rPr>
        <w:t xml:space="preserve">связанной с рассадкой, необходимо по телефону получить от РЦОИ код, который позволит выполнить передачу пакетов.</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Член ГЭК, руководитель ППЭ и технический специали</w:t>
      </w:r>
      <w:r>
        <w:rPr>
          <w:rFonts w:ascii="Tinos" w:hAnsi="Tinos" w:eastAsia="Tinos" w:cs="Tinos"/>
          <w:sz w:val="28"/>
          <w:szCs w:val="28"/>
          <w:highlight w:val="none"/>
          <w:lang w:val="ru-RU"/>
        </w:rPr>
        <w:t xml:space="preserve">ст ожидают в Штабе ППЭ подтверждения от РЦОИ факта успешного получения и расшифровки переданных пакетов с электронными образами бланков регистрации и форм ППЭ, и пакета (пакетов) с ответами участников КЕГЭ (статус пакетов принимает значение «Подтвержден»).</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если по запросу РЦОИ необходимо использовать новый пакет с сертиф</w:t>
      </w:r>
      <w:r>
        <w:rPr>
          <w:rFonts w:ascii="Tinos" w:hAnsi="Tinos" w:eastAsia="Tinos" w:cs="Tinos"/>
          <w:sz w:val="28"/>
          <w:szCs w:val="28"/>
          <w:highlight w:val="none"/>
          <w:lang w:val="ru-RU"/>
        </w:rPr>
        <w:t xml:space="preserve">икатами специалистов РЦОИ для экспорта бланков регистрации и (или) форм ППЭ и (или) ответов участников КЕГЭ, технический специалист скачивает в личном кабинете ППЭ новый пакет с сертификатами специалистов РЦОИ и выполняет следующие действия соответственно.</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повторного экспорта пакета с электронными образами бланков регистрации и форм ППЭ, сформированного на станции организатора, технический специалист: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проходит в соответствующую аудиторию ППЭ и возвращает станцию организатора на этап экспорта пакета с электронными образами бланков и форм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загружает актуальный пакет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выполняет повторный экспорт пакета с электронными образами бланков регистрации и форм ППЭ для передачи в РЦОИ.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Для повторного экспорта пакета с электронными образами форм ППЭ, сформированного на станции Штаба ППЭ, технический специалист: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загружает актуальный пакет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выполняет повторный экспорт пакета с электронными образами форм ППЭ для передачи в РЦОИ.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Для повторного экспорта пакета с ответами участников КЕГЭ, сформированного на основе данных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на станции КЕГЭ, технический специалист: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проходит в аудиторию ППЭ и возвращает станцию КЕГЭ на этап экспорта паке</w:t>
      </w:r>
      <w:r>
        <w:rPr>
          <w:rFonts w:ascii="Tinos" w:hAnsi="Tinos" w:eastAsia="Tinos" w:cs="Tinos"/>
          <w:sz w:val="28"/>
          <w:szCs w:val="28"/>
          <w:highlight w:val="none"/>
          <w:lang w:val="ru-RU"/>
        </w:rPr>
        <w:t xml:space="preserve">та с ответами участников КЕГЭ (для формирования (экспорта) пакета может быть задействована любая станция КЕГЭ, на которой было выполнено сохранение ответов участника, повторное сохранение ответов участника на этой станции без запроса из РЦОИ не требуется);</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загружает актуальный пакет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подключает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с сохраненными ответами участников КЕГЭ к станции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выполняет повторную проверку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с ответами участников КЕГЭ и повторный экспорт пакета с ответами участников КЕГЭ для передачи в РЦОИ, ранее сформированный пакет и сопроводительный бланк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при этом удаляются.</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После получения от РЦОИ подтверждения по всем переданным пакетам технический специалист: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основной станции Штаба ППЭ сохраняет протокол проведения процедур</w:t>
      </w:r>
      <w:r>
        <w:rPr>
          <w:rFonts w:ascii="Tinos" w:hAnsi="Tinos" w:eastAsia="Tinos" w:cs="Tinos"/>
          <w:sz w:val="28"/>
          <w:szCs w:val="28"/>
          <w:highlight w:val="none"/>
          <w:lang w:val="ru-RU"/>
        </w:rPr>
        <w:t xml:space="preserve">ы сканирования бланков в ППЭ (форма ППЭ-15) и электронный журнал работы станции Штаба ППЭ, протокол проведения процедуры сканирования распечатывается и подписывается техническим специалистом ППЭ, руководителем ППЭ и членом ГЭК и остается на хранение в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резервной не задействованной для сканирования станции Штаба ППЭ технический специалист завершает экзамен и сохраняет протокол испо</w:t>
      </w:r>
      <w:r>
        <w:rPr>
          <w:rFonts w:ascii="Tinos" w:hAnsi="Tinos" w:eastAsia="Tinos" w:cs="Tinos"/>
          <w:sz w:val="28"/>
          <w:szCs w:val="28"/>
          <w:highlight w:val="none"/>
          <w:lang w:val="ru-RU"/>
        </w:rPr>
        <w:t xml:space="preserve">льзования станции Штаба ППЭ (форма ППЭ-15-01) и электронный журнал работы станции Штаба ППЭ, протокол использования станции Штаба ППЭ распечатывается и подписывается техническим специалистом ППЭ, руководителем ППЭ и членом ГЭК и остается на хранение в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выполняет передачу электро</w:t>
      </w:r>
      <w:r>
        <w:rPr>
          <w:rFonts w:ascii="Tinos" w:hAnsi="Tinos" w:eastAsia="Tinos" w:cs="Tinos"/>
          <w:sz w:val="28"/>
          <w:szCs w:val="28"/>
          <w:highlight w:val="none"/>
          <w:lang w:val="ru-RU"/>
        </w:rPr>
        <w:t xml:space="preserve">нных журналов работы основной и резервной станций Штаба ППЭ и статуса «Материалы переданы в РЦОИ» в систему мониторинга готовности ППЭ. Статус «Материалы переданы в РЦОИ» может быть передан, если в РЦОИ было передано подтверждение о завершении передачи ЭМ.</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15"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Действия </w:t>
      </w:r>
      <w:r>
        <w:rPr>
          <w:rFonts w:ascii="Tinos" w:hAnsi="Tinos" w:eastAsia="Tinos" w:cs="Tinos"/>
          <w:sz w:val="28"/>
          <w:szCs w:val="28"/>
          <w:highlight w:val="none"/>
          <w:lang w:val="ru-RU"/>
        </w:rPr>
        <w:t xml:space="preserve">в случае нештатной ситуации описаны в </w:t>
      </w:r>
      <w:r>
        <w:rPr>
          <w:rFonts w:ascii="Tinos" w:hAnsi="Tinos" w:eastAsia="Tinos" w:cs="Tinos"/>
          <w:sz w:val="28"/>
          <w:szCs w:val="28"/>
          <w:highlight w:val="none"/>
          <w:lang w:val="ru-RU"/>
        </w:rPr>
        <w:t xml:space="preserve">Инструкци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для технического специалиста в пункте проведения экзаменов при проведении</w:t>
      </w:r>
      <w:r>
        <w:rPr>
          <w:rFonts w:ascii="Tinos" w:hAnsi="Tinos" w:eastAsia="Tinos" w:cs="Tinos"/>
          <w:sz w:val="28"/>
          <w:szCs w:val="28"/>
          <w:highlight w:val="none"/>
          <w:lang w:val="ru-RU"/>
        </w:rPr>
        <w:t xml:space="preserve"> государственной итоговой аттестации по образовательным программам среднего общего образования на территории Вологодской области</w:t>
      </w:r>
      <w:r>
        <w:rPr>
          <w:rFonts w:ascii="Tinos" w:hAnsi="Tinos" w:eastAsia="Tinos" w:cs="Tinos"/>
          <w:sz w:val="28"/>
          <w:szCs w:val="28"/>
          <w:highlight w:val="none"/>
          <w:lang w:val="ru-RU"/>
        </w:rPr>
        <w:t xml:space="preserve">, утвержденной настоящим приказом</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ind w:left="0" w:right="-1" w:firstLine="694"/>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r>
      <w:r>
        <w:rPr>
          <w:rFonts w:ascii="Tinos" w:hAnsi="Tinos" w:cs="Tinos"/>
          <w:sz w:val="28"/>
          <w:szCs w:val="28"/>
          <w:highlight w:val="none"/>
        </w:rPr>
      </w:r>
      <w:r>
        <w:rPr>
          <w:rFonts w:ascii="Tinos" w:hAnsi="Tinos" w:cs="Tinos"/>
          <w:sz w:val="28"/>
          <w:szCs w:val="28"/>
          <w:highlight w:val="none"/>
        </w:rPr>
      </w:r>
    </w:p>
    <w:p>
      <w:pPr>
        <w:numPr>
          <w:ilvl w:val="0"/>
          <w:numId w:val="1"/>
        </w:numPr>
        <w:ind w:left="0"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Инструкция</w:t>
      </w:r>
      <w:r>
        <w:rPr>
          <w:rFonts w:ascii="Tinos" w:hAnsi="Tinos" w:eastAsia="Tinos" w:cs="Tinos"/>
          <w:sz w:val="28"/>
          <w:szCs w:val="28"/>
          <w:highlight w:val="none"/>
        </w:rPr>
        <w:t xml:space="preserve"> </w:t>
      </w:r>
      <w:r>
        <w:rPr>
          <w:rFonts w:ascii="Tinos" w:hAnsi="Tinos" w:eastAsia="Tinos" w:cs="Tinos"/>
          <w:sz w:val="28"/>
          <w:szCs w:val="28"/>
          <w:highlight w:val="none"/>
        </w:rPr>
        <w:t xml:space="preserve">для</w:t>
      </w:r>
      <w:r>
        <w:rPr>
          <w:rFonts w:ascii="Tinos" w:hAnsi="Tinos" w:eastAsia="Tinos" w:cs="Tinos"/>
          <w:sz w:val="28"/>
          <w:szCs w:val="28"/>
          <w:highlight w:val="none"/>
        </w:rPr>
        <w:t xml:space="preserve"> </w:t>
      </w:r>
      <w:r>
        <w:rPr>
          <w:rFonts w:ascii="Tinos" w:hAnsi="Tinos" w:eastAsia="Tinos" w:cs="Tinos"/>
          <w:sz w:val="28"/>
          <w:szCs w:val="28"/>
          <w:highlight w:val="none"/>
        </w:rPr>
        <w:t xml:space="preserve">члена</w:t>
      </w:r>
      <w:r>
        <w:rPr>
          <w:rFonts w:ascii="Tinos" w:hAnsi="Tinos" w:eastAsia="Tinos" w:cs="Tinos"/>
          <w:sz w:val="28"/>
          <w:szCs w:val="28"/>
          <w:highlight w:val="none"/>
        </w:rPr>
        <w:t xml:space="preserve"> ГЭК</w:t>
      </w:r>
      <w:r>
        <w:rPr>
          <w:rStyle w:val="1000"/>
          <w:rFonts w:ascii="Tinos" w:hAnsi="Tinos" w:eastAsia="Tinos" w:cs="Tinos"/>
          <w:sz w:val="28"/>
          <w:szCs w:val="28"/>
          <w:highlight w:val="none"/>
        </w:rPr>
        <w:footnoteReference w:id="4"/>
      </w:r>
      <w:r>
        <w:rPr>
          <w:rFonts w:ascii="Tinos" w:hAnsi="Tinos" w:cs="Tinos"/>
          <w:sz w:val="28"/>
          <w:szCs w:val="28"/>
          <w:highlight w:val="none"/>
        </w:rPr>
      </w:r>
      <w:r>
        <w:rPr>
          <w:rFonts w:ascii="Tinos" w:hAnsi="Tinos" w:cs="Tinos"/>
          <w:sz w:val="28"/>
          <w:szCs w:val="28"/>
          <w:highlight w:val="none"/>
        </w:rPr>
      </w:r>
    </w:p>
    <w:p>
      <w:pPr>
        <w:ind w:firstLine="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r>
      <w:r>
        <w:rPr>
          <w:rFonts w:ascii="Tinos" w:hAnsi="Tinos" w:cs="Tinos"/>
          <w:sz w:val="28"/>
          <w:szCs w:val="28"/>
          <w:highlight w:val="none"/>
        </w:rPr>
      </w:r>
      <w:r>
        <w:rPr>
          <w:rFonts w:ascii="Tinos" w:hAnsi="Tinos" w:cs="Tinos"/>
          <w:sz w:val="28"/>
          <w:szCs w:val="28"/>
          <w:highlight w:val="none"/>
        </w:rPr>
      </w:r>
    </w:p>
    <w:p>
      <w:pPr>
        <w:pStyle w:val="1003"/>
        <w:numPr>
          <w:ilvl w:val="1"/>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подготовительном этапе проведения КЕГЭ член ГЭК:</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проводит проверку готовности ППЭ 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две недели до </w:t>
      </w:r>
      <w:r>
        <w:rPr>
          <w:rFonts w:ascii="Tinos" w:hAnsi="Tinos" w:eastAsia="Tinos" w:cs="Tinos"/>
          <w:sz w:val="28"/>
          <w:szCs w:val="28"/>
          <w:highlight w:val="none"/>
          <w:lang w:val="ru-RU"/>
        </w:rPr>
        <w:t xml:space="preserve">начала экзаменов (по решению председателя ГЭК), в том числе проверяет работоспособность </w:t>
      </w:r>
      <w:r>
        <w:rPr>
          <w:rFonts w:ascii="Tinos" w:hAnsi="Tinos" w:eastAsia="Tinos" w:cs="Tinos"/>
          <w:sz w:val="28"/>
          <w:szCs w:val="28"/>
          <w:highlight w:val="none"/>
          <w:lang w:val="ru-RU"/>
        </w:rPr>
        <w:t xml:space="preserve">криптосредств</w:t>
      </w:r>
      <w:r>
        <w:rPr>
          <w:rFonts w:ascii="Tinos" w:hAnsi="Tinos" w:eastAsia="Tinos" w:cs="Tinos"/>
          <w:sz w:val="28"/>
          <w:szCs w:val="28"/>
          <w:highlight w:val="none"/>
          <w:lang w:val="ru-RU"/>
        </w:rPr>
        <w:t xml:space="preserve"> в личном кабинете ППЭ;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w:t>
      </w:r>
      <w:r>
        <w:rPr>
          <w:rFonts w:ascii="Tinos" w:hAnsi="Tinos" w:eastAsia="Tinos" w:cs="Tinos"/>
          <w:sz w:val="28"/>
          <w:szCs w:val="28"/>
          <w:highlight w:val="none"/>
          <w:lang w:val="ru-RU"/>
        </w:rPr>
        <w:t xml:space="preserve">е ранее  чем за 2 рабочих дня и не позднее 16 часов 00 минут календарного дня, предшествующего дню экзамена, совместно с руководителем ППЭ и техническим специалистом ППЭ проводит контроль технической готовности ППЭ, в том числе:</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тиражирование и передачу руководителю ППЭ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и черновика КЕГЭ по одному комплекту на каждого участника;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компьютере (ноутбуке), предназначенном д</w:t>
      </w:r>
      <w:r>
        <w:rPr>
          <w:rFonts w:ascii="Tinos" w:hAnsi="Tinos" w:eastAsia="Tinos" w:cs="Tinos"/>
          <w:sz w:val="28"/>
          <w:szCs w:val="28"/>
          <w:highlight w:val="none"/>
          <w:lang w:val="ru-RU"/>
        </w:rPr>
        <w:t xml:space="preserve">ля работы в личном кабинете ППЭ </w:t>
      </w:r>
      <w:r>
        <w:rPr>
          <w:rFonts w:ascii="Tinos" w:hAnsi="Tinos" w:eastAsia="Tinos" w:cs="Tinos"/>
          <w:sz w:val="28"/>
          <w:szCs w:val="28"/>
          <w:highlight w:val="none"/>
          <w:lang w:val="ru-RU"/>
        </w:rPr>
        <w:t xml:space="preserve">проверяет наличие соединения с личным кабинетом ППЭ по основному и резервному каналам доступа в сеть «Интернет»;</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тип основного и резервного каналов доступа в сеть «Интернет» (либо отсутствие резервного канала доступа в сеть «Интернет»);</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выполняет авторизацию на специализированном федеральном портале с помощью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член ГЭК должен подключить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к компьютеру (ноутбуку) и ввести пароль доступа к нему;</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 результатам авторизации убедиться в наличии назначения на выбранную дату экзамена в личном кабинете ППЭ.</w:t>
      </w:r>
      <w:r>
        <w:rPr>
          <w:rFonts w:ascii="Tinos" w:hAnsi="Tinos" w:cs="Tinos"/>
          <w:sz w:val="28"/>
          <w:szCs w:val="28"/>
          <w:highlight w:val="none"/>
        </w:rPr>
      </w:r>
      <w:r>
        <w:rPr>
          <w:rFonts w:ascii="Tinos" w:hAnsi="Tinos" w:cs="Tinos"/>
          <w:sz w:val="28"/>
          <w:szCs w:val="28"/>
          <w:highlight w:val="none"/>
        </w:rPr>
      </w:r>
    </w:p>
    <w:p>
      <w:pPr>
        <w:pStyle w:val="1003"/>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Все члены ГЭК, назначенные на экзамен, должны пройти авторизацию в ППЭ, в который они назначены, не ранее чем за 2 рабочих дня, но не позднее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1</w:t>
      </w:r>
      <w:r>
        <w:rPr>
          <w:rFonts w:ascii="Tinos" w:hAnsi="Tinos" w:eastAsia="Tinos" w:cs="Tinos"/>
          <w:sz w:val="28"/>
          <w:szCs w:val="28"/>
          <w:highlight w:val="none"/>
          <w:lang w:val="ru-RU"/>
        </w:rPr>
        <w:t xml:space="preserve">6 часов </w:t>
      </w:r>
      <w:r>
        <w:rPr>
          <w:rFonts w:ascii="Tinos" w:hAnsi="Tinos" w:eastAsia="Tinos" w:cs="Tinos"/>
          <w:sz w:val="28"/>
          <w:szCs w:val="28"/>
          <w:highlight w:val="none"/>
          <w:lang w:val="ru-RU"/>
        </w:rPr>
        <w:t xml:space="preserve">00 </w:t>
      </w:r>
      <w:r>
        <w:rPr>
          <w:rFonts w:ascii="Tinos" w:hAnsi="Tinos" w:eastAsia="Tinos" w:cs="Tinos"/>
          <w:sz w:val="28"/>
          <w:szCs w:val="28"/>
          <w:highlight w:val="none"/>
          <w:lang w:val="ru-RU"/>
        </w:rPr>
        <w:t xml:space="preserve">минут</w:t>
      </w:r>
      <w:r>
        <w:rPr>
          <w:rFonts w:ascii="Tinos" w:hAnsi="Tinos" w:eastAsia="Tinos" w:cs="Tinos"/>
          <w:sz w:val="28"/>
          <w:szCs w:val="28"/>
          <w:highlight w:val="none"/>
          <w:lang w:val="ru-RU"/>
        </w:rPr>
        <w:t xml:space="preserve"> календарного дня, предшествующ</w:t>
      </w:r>
      <w:r>
        <w:rPr>
          <w:rFonts w:ascii="Tinos" w:hAnsi="Tinos" w:eastAsia="Tinos" w:cs="Tinos"/>
          <w:sz w:val="28"/>
          <w:szCs w:val="28"/>
          <w:highlight w:val="none"/>
          <w:lang w:val="ru-RU"/>
        </w:rPr>
        <w:t xml:space="preserve">его дню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скачивание пакета с сертификатами специалистов РЦОИ для загрузки на все станции КЕГЭ, станции организатора и станции Штаба ППЭ, включая резервные;</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w:t>
      </w:r>
      <w:r>
        <w:rPr>
          <w:rFonts w:ascii="Tinos" w:hAnsi="Tinos" w:eastAsia="Tinos" w:cs="Tinos"/>
          <w:sz w:val="28"/>
          <w:szCs w:val="28"/>
          <w:highlight w:val="none"/>
          <w:lang w:val="ru-RU"/>
        </w:rPr>
        <w:t xml:space="preserve">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каждой станции организатора в каждой аудитории, назначенной на экзамен, и резервных станциях организатора: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станции: код региона, код ППЭ (впечатываются в бланки регистрации участников экзамена), номер компьютера (ноутбука) – уникальный для ППЭ номер компьютера (ноутбука);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системного времени;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 </w:t>
      </w:r>
      <w:r>
        <w:rPr>
          <w:rFonts w:ascii="Tinos" w:hAnsi="Tinos" w:eastAsia="Tinos" w:cs="Tinos"/>
          <w:sz w:val="28"/>
          <w:szCs w:val="28"/>
          <w:highlight w:val="none"/>
          <w:lang w:val="ru-RU"/>
        </w:rPr>
        <w:t xml:space="preserve">загруженного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качество печати калибровочного листа (тестовой печати границ), </w:t>
      </w:r>
      <w:r>
        <w:rPr>
          <w:rFonts w:ascii="Tinos" w:hAnsi="Tinos" w:eastAsia="Tinos" w:cs="Tinos"/>
          <w:sz w:val="28"/>
          <w:szCs w:val="28"/>
          <w:highlight w:val="none"/>
          <w:lang w:val="ru-RU"/>
        </w:rPr>
        <w:t xml:space="preserve">выполненной в его присутствии, и напечатанного во время технической подготовки тестового бланка регистрации: все напечатанные границы видны, на тестовых бланках регистрации и калибровочном листе отсутствуют белые и темные полосы; черные квадраты (реперы), </w:t>
      </w:r>
      <w:r>
        <w:rPr>
          <w:rFonts w:ascii="Tinos" w:hAnsi="Tinos" w:eastAsia="Tinos" w:cs="Tinos"/>
          <w:sz w:val="28"/>
          <w:szCs w:val="28"/>
          <w:highlight w:val="none"/>
          <w:lang w:val="ru-RU"/>
        </w:rPr>
        <w:t xml:space="preserve">штрихкоды</w:t>
      </w:r>
      <w:r>
        <w:rPr>
          <w:rFonts w:ascii="Tinos" w:hAnsi="Tinos" w:eastAsia="Tinos" w:cs="Tinos"/>
          <w:sz w:val="28"/>
          <w:szCs w:val="28"/>
          <w:highlight w:val="none"/>
          <w:lang w:val="ru-RU"/>
        </w:rPr>
        <w:t xml:space="preserve"> и QR-код, текст хорошо читаемы и четко пропечатаны.</w:t>
      </w:r>
      <w:r>
        <w:rPr>
          <w:rFonts w:ascii="Tinos" w:hAnsi="Tinos" w:eastAsia="Tinos" w:cs="Tinos"/>
          <w:sz w:val="28"/>
          <w:szCs w:val="28"/>
          <w:highlight w:val="none"/>
          <w:lang w:val="ru-RU"/>
        </w:rPr>
        <w:t xml:space="preserve"> По усмотрению члена ГЭК тестовый бланк регистрации может быть напечатан в его присутствии;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выполнение калибровки сканера с использованием напечатанного калибровочного листа (тестовой страницы границ печати) и его передачу руководителю ППЭ;</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загрузку пакета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работоспособность сре</w:t>
      </w:r>
      <w:r>
        <w:rPr>
          <w:rFonts w:ascii="Tinos" w:hAnsi="Tinos" w:eastAsia="Tinos" w:cs="Tinos"/>
          <w:sz w:val="28"/>
          <w:szCs w:val="28"/>
          <w:highlight w:val="none"/>
          <w:lang w:val="ru-RU"/>
        </w:rPr>
        <w:t xml:space="preserve">дств кр</w:t>
      </w:r>
      <w:r>
        <w:rPr>
          <w:rFonts w:ascii="Tinos" w:hAnsi="Tinos" w:eastAsia="Tinos" w:cs="Tinos"/>
          <w:sz w:val="28"/>
          <w:szCs w:val="28"/>
          <w:highlight w:val="none"/>
          <w:lang w:val="ru-RU"/>
        </w:rPr>
        <w:t xml:space="preserve">иптозащиты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подключает к станции организатора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 Каждый член ГЭК должен убедиться в работоспособности своего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хотя бы на одной станции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что в аудитории ППЭ подготовлено достаточное количество бумаги для печати бланков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печать протокола технической готовности аудитории для печати (форма ППЭ-01-01);</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сохранение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электронного акта технической готовности для последующей передачи в систему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Важно! Не рекомендуется перемещать станцию организатора с подключенным принтером и сканером или отключать принтер и сканер от компьютера (ноутбука) после завершения контроля технической готовности;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каждой станции КЕГЭ в каждой аудитории, назначенной на экзамен, и резервных станциях КЕГЭ:</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станции: код региона, код ППЭ, номер компьютера (ноутбука) – уникальный для ППЭ номер компьютера (ноутбука);</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системного времени;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 </w:t>
      </w:r>
      <w:r>
        <w:rPr>
          <w:rFonts w:ascii="Tinos" w:hAnsi="Tinos" w:eastAsia="Tinos" w:cs="Tinos"/>
          <w:sz w:val="28"/>
          <w:szCs w:val="28"/>
          <w:highlight w:val="none"/>
          <w:lang w:val="ru-RU"/>
        </w:rPr>
        <w:t xml:space="preserve">загруженного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 заданного пути к корневой папке для создания рабочей папки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 рабочей папки экзамена по указанному адресу;</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корректность функционирования станции КЕГЭ в части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работы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КИМ:</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доступна возможность ввода и сохранения ответа на стандартное задание и на задание с ответом в табличном виде;</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доступна возможность сохранения прилагаемых файлов к заданиям, сохраненные файлы содержатся в рабочей папке;</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кнопки вызова инструкции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и сворачивания станции работоспособны;</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 стандартного ПО, предоставляемого участнику экзамена во время экзамена в соответствии с перечнем, полученным из РЦОИ, и его работоспособность одновременно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ПО «Станция КЕГЭ»;</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что на станции КЕГЭ зарегистрировано установленное на компьютере (ноутбуке) стандартное ПО, и что список зарегистрированных на станции КЕГЭ программ в точности совпадает с </w:t>
      </w:r>
      <w:r>
        <w:rPr>
          <w:rFonts w:ascii="Tinos" w:hAnsi="Tinos" w:eastAsia="Tinos" w:cs="Tinos"/>
          <w:sz w:val="28"/>
          <w:szCs w:val="28"/>
          <w:highlight w:val="none"/>
          <w:lang w:val="ru-RU"/>
        </w:rPr>
        <w:t xml:space="preserve">тем</w:t>
      </w:r>
      <w:r>
        <w:rPr>
          <w:rFonts w:ascii="Tinos" w:hAnsi="Tinos" w:eastAsia="Tinos" w:cs="Tinos"/>
          <w:sz w:val="28"/>
          <w:szCs w:val="28"/>
          <w:highlight w:val="none"/>
          <w:lang w:val="ru-RU"/>
        </w:rPr>
        <w:t xml:space="preserve"> ПО, которое установлено на проверяемом компьютере (ноутбуке);</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загрузку пакета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работоспособность сре</w:t>
      </w:r>
      <w:r>
        <w:rPr>
          <w:rFonts w:ascii="Tinos" w:hAnsi="Tinos" w:eastAsia="Tinos" w:cs="Tinos"/>
          <w:sz w:val="28"/>
          <w:szCs w:val="28"/>
          <w:highlight w:val="none"/>
          <w:lang w:val="ru-RU"/>
        </w:rPr>
        <w:t xml:space="preserve">дств кр</w:t>
      </w:r>
      <w:r>
        <w:rPr>
          <w:rFonts w:ascii="Tinos" w:hAnsi="Tinos" w:eastAsia="Tinos" w:cs="Tinos"/>
          <w:sz w:val="28"/>
          <w:szCs w:val="28"/>
          <w:highlight w:val="none"/>
          <w:lang w:val="ru-RU"/>
        </w:rPr>
        <w:t xml:space="preserve">иптозащиты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член ГЭК подключает к станции КЕГЭ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сохранение кода активации экзамена и его передачу руководителю ППЭ (код активации экзамена одинаковый для всех станций КЕГЭ в одной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сохранение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паспорта станции КЕГЭ, а также электронного акта технической готовности для передачи в систему мониторинга готовности ППЭ. </w:t>
      </w:r>
      <w:r>
        <w:rPr>
          <w:rFonts w:ascii="Tinos" w:hAnsi="Tinos" w:eastAsia="Tinos" w:cs="Tinos"/>
          <w:sz w:val="28"/>
          <w:szCs w:val="28"/>
          <w:highlight w:val="none"/>
          <w:lang w:val="ru-RU"/>
        </w:rPr>
        <w:t xml:space="preserve">Сведения об установленном стандартном ПО, зарегистрированном в станции КЕГЭ, сохраняются в электронном акте технической готовности станции КЕГЭ, а также включаются в приложение к паспорту станции КЕГЭ;</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что в рабочей папке экзамена, а также в Корзине удалены все файлы, сохраненные и (или) созданные в ходе технической подготовки или во время предыдущих экзаменов;</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 основной и резервной станциях Штаба ППЭ, установленных в Штабе ППЭ:</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станции: код региона, код ППЭ, номер компьютера (ноутбука) – уникальный для ППЭ номер компьютера (ноутбука), признак резервной станции для резервной станции;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экзамена: период проведения экзаменов, учебный предмет и дату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настройки системного времени;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выполнение тестового сканирования не менее одного из предоставленных тестовых бланков регистрации повторно, а также (при наличии) напечатанных по решению члена ГЭК тестовых бланков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оценивает качество сканирования бланков регистрации: все бланки регистрации успешно распознаны и не отмечены как некачественные; черные квадраты (реперы), </w:t>
      </w:r>
      <w:r>
        <w:rPr>
          <w:rFonts w:ascii="Tinos" w:hAnsi="Tinos" w:eastAsia="Tinos" w:cs="Tinos"/>
          <w:sz w:val="28"/>
          <w:szCs w:val="28"/>
          <w:highlight w:val="none"/>
          <w:lang w:val="ru-RU"/>
        </w:rPr>
        <w:t xml:space="preserve">штрихкоды</w:t>
      </w:r>
      <w:r>
        <w:rPr>
          <w:rFonts w:ascii="Tinos" w:hAnsi="Tinos" w:eastAsia="Tinos" w:cs="Tinos"/>
          <w:sz w:val="28"/>
          <w:szCs w:val="28"/>
          <w:highlight w:val="none"/>
          <w:lang w:val="ru-RU"/>
        </w:rPr>
        <w:t xml:space="preserve"> и QR-код, текст хорошо читаемы, знакоместа на бланках не слишком яркие;</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загрузку пакета с сертификатами специалистов РЦОИ;</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работоспособность сре</w:t>
      </w:r>
      <w:r>
        <w:rPr>
          <w:rFonts w:ascii="Tinos" w:hAnsi="Tinos" w:eastAsia="Tinos" w:cs="Tinos"/>
          <w:sz w:val="28"/>
          <w:szCs w:val="28"/>
          <w:highlight w:val="none"/>
          <w:lang w:val="ru-RU"/>
        </w:rPr>
        <w:t xml:space="preserve">дств кр</w:t>
      </w:r>
      <w:r>
        <w:rPr>
          <w:rFonts w:ascii="Tinos" w:hAnsi="Tinos" w:eastAsia="Tinos" w:cs="Tinos"/>
          <w:sz w:val="28"/>
          <w:szCs w:val="28"/>
          <w:highlight w:val="none"/>
          <w:lang w:val="ru-RU"/>
        </w:rPr>
        <w:t xml:space="preserve">иптозащиты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подключает к станции Штаба ППЭ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контролирует сохранение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w:t>
      </w:r>
      <w:r>
        <w:rPr>
          <w:rFonts w:ascii="Tinos" w:hAnsi="Tinos" w:eastAsia="Tinos" w:cs="Tinos"/>
          <w:sz w:val="28"/>
          <w:szCs w:val="28"/>
          <w:highlight w:val="none"/>
          <w:lang w:val="ru-RU"/>
        </w:rPr>
        <w:t xml:space="preserve">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роверяет наличие дополнительного (резервного) оборудования, необходимого для проведения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принтер, который будет использоваться для печати сопроводительной документации к </w:t>
      </w:r>
      <w:r>
        <w:rPr>
          <w:rFonts w:ascii="Tinos" w:hAnsi="Tinos" w:eastAsia="Tinos" w:cs="Tinos"/>
          <w:sz w:val="28"/>
          <w:szCs w:val="28"/>
          <w:highlight w:val="none"/>
          <w:lang w:val="ru-RU"/>
        </w:rPr>
        <w:t xml:space="preserve">флеш-накопителям</w:t>
      </w:r>
      <w:r>
        <w:rPr>
          <w:rFonts w:ascii="Tinos" w:hAnsi="Tinos" w:eastAsia="Tinos" w:cs="Tinos"/>
          <w:sz w:val="28"/>
          <w:szCs w:val="28"/>
          <w:highlight w:val="none"/>
          <w:lang w:val="ru-RU"/>
        </w:rPr>
        <w:t xml:space="preserve"> с ответами участников КЕГЭ (может быть использован принтер, подключённый к станции Штаба ППЭ либо принтер, подключённый к любой станции организатора);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основной</w:t>
      </w:r>
      <w:r>
        <w:rPr>
          <w:rFonts w:ascii="Tinos" w:hAnsi="Tinos" w:eastAsia="Tinos" w:cs="Tinos"/>
          <w:sz w:val="28"/>
          <w:szCs w:val="28"/>
          <w:highlight w:val="none"/>
          <w:lang w:val="ru-RU"/>
        </w:rPr>
        <w:t xml:space="preserve"> и резервный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переноса данных между станциями ППЭ;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основные и резервные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для сохранения ответов участников КЕГЭ;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картриджи для принтеров;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лазерные принтеры и сканеры, дополнительно к настроенным резервным станциям организатора;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резервные кабели для подключения принтеров и сканеров к компьютерам (</w:t>
      </w:r>
      <w:r>
        <w:rPr>
          <w:rFonts w:ascii="Tinos" w:hAnsi="Tinos" w:eastAsia="Tinos" w:cs="Tinos"/>
          <w:sz w:val="28"/>
          <w:szCs w:val="28"/>
          <w:highlight w:val="none"/>
          <w:lang w:val="ru-RU"/>
        </w:rPr>
        <w:t xml:space="preserve">ноутбукам</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окончании контроля технической готовности аудиторий и Штаба ППЭ к экзамену необходимо: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подписать паспорта станций КЕГЭ;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проконтролировать передачу приложений к паспорту станции КЕГЭ руководителю ППЭ для дальнейшей выдачи организаторам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подписать протокол (протоколы) технической готовности аудиторий, напечатанный тестовый бланк регистрации является приложением к соответствующему протоколу (форма ППЭ-01-01);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подписать протокол (протоколы) технической готовности Штаба ППЭ (форма ППЭ</w:t>
      </w:r>
      <w:r>
        <w:rPr>
          <w:rFonts w:ascii="Tinos" w:hAnsi="Tinos" w:eastAsia="Tinos" w:cs="Tinos"/>
          <w:sz w:val="28"/>
          <w:szCs w:val="28"/>
          <w:highlight w:val="none"/>
          <w:lang w:val="ru-RU"/>
        </w:rPr>
        <w:t xml:space="preserve">-01-02).</w:t>
      </w:r>
      <w:r>
        <w:rPr>
          <w:rFonts w:ascii="Tinos" w:hAnsi="Tinos" w:eastAsia="Tinos" w:cs="Tinos"/>
          <w:sz w:val="28"/>
          <w:szCs w:val="28"/>
          <w:highlight w:val="none"/>
          <w:lang w:val="ru-RU"/>
        </w:rPr>
        <w:t xml:space="preserve"> Подписанные паспорта и протоколы остаются на хранение в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и подписать форму ППЭ-01-01-К;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 подтвердить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передачу в систему мониторинга готовности ППЭ: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сформированных электронных актов технической готовности со всех основных и резервных станций КЕГЭ, станций организатора, станций Штаба ППЭ; </w:t>
      </w:r>
      <w:r>
        <w:rPr>
          <w:rFonts w:ascii="Tinos" w:hAnsi="Tinos" w:cs="Tinos"/>
          <w:sz w:val="28"/>
          <w:szCs w:val="28"/>
          <w:highlight w:val="none"/>
        </w:rPr>
      </w:r>
      <w:r>
        <w:rPr>
          <w:rFonts w:ascii="Tinos" w:hAnsi="Tinos" w:cs="Tinos"/>
          <w:sz w:val="28"/>
          <w:szCs w:val="28"/>
          <w:highlight w:val="none"/>
        </w:rPr>
      </w:r>
    </w:p>
    <w:p>
      <w:pPr>
        <w:pStyle w:val="1003"/>
        <w:numPr>
          <w:ilvl w:val="0"/>
          <w:numId w:val="13"/>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статуса «Контроль технической готовности завершён».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контроля технической готовности все станции необходимо закрыть.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Акты основных станций могут быть переданы только при условии наличия на специализированном федеральном портале сведений о рассадке. </w:t>
      </w:r>
      <w:r>
        <w:rPr>
          <w:rFonts w:ascii="Tinos" w:hAnsi="Tinos" w:eastAsia="Tinos" w:cs="Tinos"/>
          <w:sz w:val="28"/>
          <w:szCs w:val="28"/>
          <w:highlight w:val="none"/>
          <w:lang w:val="ru-RU"/>
        </w:rPr>
        <w:t xml:space="preserve">Статус «Контроль технической готовности завершен» может быть передан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w:t>
      </w:r>
      <w:r>
        <w:rPr>
          <w:rFonts w:ascii="Tinos" w:hAnsi="Tinos" w:eastAsia="Tinos" w:cs="Tinos"/>
          <w:sz w:val="28"/>
          <w:szCs w:val="28"/>
          <w:highlight w:val="none"/>
          <w:lang w:val="ru-RU"/>
        </w:rPr>
        <w:t xml:space="preserve">ена ГЭК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w:t>
      </w:r>
      <w:r>
        <w:rPr>
          <w:rFonts w:ascii="Tinos" w:hAnsi="Tinos" w:eastAsia="Tinos" w:cs="Tinos"/>
          <w:sz w:val="28"/>
          <w:szCs w:val="28"/>
          <w:highlight w:val="none"/>
          <w:lang w:val="ru-RU"/>
        </w:rPr>
        <w:t xml:space="preserve">назначенных участников для каждой аудитории.</w:t>
      </w:r>
      <w:r>
        <w:rPr>
          <w:rFonts w:ascii="Tinos" w:hAnsi="Tinos" w:cs="Tinos"/>
          <w:sz w:val="28"/>
          <w:szCs w:val="28"/>
          <w:highlight w:val="none"/>
        </w:rPr>
      </w:r>
      <w:r>
        <w:rPr>
          <w:rFonts w:ascii="Tinos" w:hAnsi="Tinos" w:cs="Tinos"/>
          <w:sz w:val="28"/>
          <w:szCs w:val="28"/>
          <w:highlight w:val="none"/>
        </w:rPr>
      </w:r>
    </w:p>
    <w:p>
      <w:pPr>
        <w:pStyle w:val="1003"/>
        <w:numPr>
          <w:ilvl w:val="1"/>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проведения экзамена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член ГЭК</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позднее 07 часов 30 минут</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15"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присутствует</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при получении и распечатке пакета руководителя ППЭ – в случае использования его электронной версии;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наличие:</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конвертов</w:t>
      </w:r>
      <w:r>
        <w:rPr>
          <w:rFonts w:ascii="Tinos" w:hAnsi="Tinos" w:eastAsia="Tinos" w:cs="Tinos"/>
          <w:sz w:val="28"/>
          <w:szCs w:val="28"/>
          <w:highlight w:val="none"/>
          <w:lang w:val="ru-RU"/>
        </w:rPr>
        <w:t xml:space="preserve"> для упаковки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ind w:left="709" w:right="-1" w:firstLine="0"/>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бланков регистрации после проведения экзамена;</w:t>
      </w:r>
      <w:r>
        <w:rPr>
          <w:rFonts w:ascii="Tinos" w:hAnsi="Tinos" w:cs="Tinos"/>
          <w:sz w:val="28"/>
          <w:szCs w:val="28"/>
          <w:highlight w:val="none"/>
        </w:rPr>
      </w:r>
      <w:r>
        <w:rPr>
          <w:rFonts w:ascii="Tinos" w:hAnsi="Tinos" w:cs="Tinos"/>
          <w:sz w:val="28"/>
          <w:szCs w:val="28"/>
          <w:highlight w:val="none"/>
        </w:rPr>
      </w:r>
    </w:p>
    <w:p>
      <w:pPr>
        <w:pStyle w:val="1003"/>
        <w:ind w:left="709" w:right="-1" w:firstLine="0"/>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испорченных и бракованных бланков регистрации в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флеш-накопител</w:t>
      </w:r>
      <w:r>
        <w:rPr>
          <w:rFonts w:ascii="Tinos" w:hAnsi="Tinos" w:eastAsia="Tinos" w:cs="Tinos"/>
          <w:sz w:val="28"/>
          <w:szCs w:val="28"/>
          <w:highlight w:val="none"/>
          <w:lang w:val="ru-RU"/>
        </w:rPr>
        <w:t xml:space="preserve">ей</w:t>
      </w:r>
      <w:r>
        <w:rPr>
          <w:rFonts w:ascii="Tinos" w:hAnsi="Tinos" w:eastAsia="Tinos" w:cs="Tinos"/>
          <w:sz w:val="28"/>
          <w:szCs w:val="28"/>
          <w:highlight w:val="none"/>
          <w:lang w:val="ru-RU"/>
        </w:rPr>
        <w:t xml:space="preserve"> для сохранения ответов участников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ранее 8 часов 15 минут </w:t>
      </w:r>
      <w:r>
        <w:rPr>
          <w:rFonts w:ascii="Tinos" w:hAnsi="Tinos" w:eastAsia="Tinos" w:cs="Tinos"/>
          <w:sz w:val="28"/>
          <w:szCs w:val="28"/>
          <w:highlight w:val="none"/>
          <w:lang w:val="ru-RU"/>
        </w:rPr>
        <w:t xml:space="preserve">присутствует </w:t>
      </w:r>
      <w:r>
        <w:rPr>
          <w:rFonts w:ascii="Tinos" w:hAnsi="Tinos" w:eastAsia="Tinos" w:cs="Tinos"/>
          <w:sz w:val="28"/>
          <w:szCs w:val="28"/>
          <w:highlight w:val="none"/>
          <w:lang w:val="ru-RU"/>
        </w:rPr>
        <w:t xml:space="preserve">при проведении руководителем ПП</w:t>
      </w:r>
      <w:r>
        <w:rPr>
          <w:rFonts w:ascii="Tinos" w:hAnsi="Tinos" w:eastAsia="Tinos" w:cs="Tinos"/>
          <w:sz w:val="28"/>
          <w:szCs w:val="28"/>
          <w:highlight w:val="none"/>
          <w:lang w:val="ru-RU"/>
        </w:rPr>
        <w:t xml:space="preserve">Э инструктажа организаторов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09 часов 30 минут в Штабе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 совместно с техническим специалистом ППЭ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в личном кабинете ППЭ скачивает ключ доступа к ЭМ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вместе с техническим специалистом ППЭ проходит по всем аудиториям и после загрузки техническим специалистом ППЭ на станцию организатора или станцию (станции) КЕГЭ ключа доступа к ЭМ выполняет его активацию;</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после сообщения о завершении работы с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извлекает из компьютера (ноутбука)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направляется совместно с техническим специалистом в следующую аудиторию ППЭ.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Член ГЭК и технический специалист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Кнопку «Прочитать КИМ» нажимать не нужно – это действие приравнивается к в</w:t>
      </w:r>
      <w:r>
        <w:rPr>
          <w:rFonts w:ascii="Tinos" w:hAnsi="Tinos" w:eastAsia="Tinos" w:cs="Tinos"/>
          <w:sz w:val="28"/>
          <w:szCs w:val="28"/>
          <w:highlight w:val="none"/>
          <w:lang w:val="ru-RU"/>
        </w:rPr>
        <w:t xml:space="preserve">скрытию ЭМ, что запрещено до 10 часов </w:t>
      </w:r>
      <w:r>
        <w:rPr>
          <w:rFonts w:ascii="Tinos" w:hAnsi="Tinos" w:eastAsia="Tinos" w:cs="Tinos"/>
          <w:sz w:val="28"/>
          <w:szCs w:val="28"/>
          <w:highlight w:val="none"/>
          <w:lang w:val="ru-RU"/>
        </w:rPr>
        <w:t xml:space="preserve">00</w:t>
      </w:r>
      <w:r>
        <w:rPr>
          <w:rFonts w:ascii="Tinos" w:hAnsi="Tinos" w:eastAsia="Tinos" w:cs="Tinos"/>
          <w:sz w:val="28"/>
          <w:szCs w:val="28"/>
          <w:highlight w:val="none"/>
          <w:lang w:val="ru-RU"/>
        </w:rPr>
        <w:t xml:space="preserve"> минут</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отсутствии доступа в личный кабинет по основному и резервному каналам в 09 часов 35 минут </w:t>
      </w:r>
      <w:r>
        <w:rPr>
          <w:rFonts w:ascii="Tinos" w:hAnsi="Tinos" w:eastAsia="Tinos" w:cs="Tinos"/>
          <w:sz w:val="28"/>
          <w:szCs w:val="28"/>
          <w:highlight w:val="none"/>
          <w:lang w:val="ru-RU"/>
        </w:rPr>
        <w:t xml:space="preserve">обращается на горячую линию сопровождения ППЭ для оформления заявки на получение пароля доступа к ЭМ.  Пароли доступа к ЭМ (не менее двух паролей на каждый предмет) выдаются не ранее 09 часов 45 минут, если доступ в сеть «Интернет» восстановить не удалось.</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обеспечивает печать дополнительного комплекта ЭМ (т.е. бланка регистрации) в аудитории ППЭ в случае опоздания участника экзамена, выявления брака или порчи распечатанного комплекта;</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обеспечивает печать дополнительного комплекта ЭМ (т.е. бланка регистрации) в аудитории ППЭ сверх количества распределенных в аудиторию участников экзамена по согласованию с председателем ГЭК;</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совместно с техническим специалистом в Штабе ППЭ в личном кабинете ППЭ запрашивает резервный ключ доступа к ЭМ в случае недостатка доступных для печати комплектов ЭМ (бланков регистрации) на основной станции организатора или в случае</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использования резервной станции организатора или резервной станции КЕГЭ, после загрузки резервного ключа доступа к ЭМ на соответствующую станцию организатора или станцию КЕГЭ активирует его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необходимости повторно получить ранее запрошенный ключ доступа на резервные ЭМ или резервную станцию организатора возможно путем скачивания основного ключа доступа к ЭМ.</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В случае возн</w:t>
      </w:r>
      <w:r>
        <w:rPr>
          <w:rFonts w:ascii="Tinos" w:hAnsi="Tinos" w:eastAsia="Tinos" w:cs="Tinos"/>
          <w:sz w:val="28"/>
          <w:szCs w:val="28"/>
          <w:highlight w:val="none"/>
          <w:lang w:val="ru-RU"/>
        </w:rPr>
        <w:t xml:space="preserve">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сопровождения ППЭ для выяснения причины. Не нужно делать попытки запросить резервный ключ повторно.</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Член ГЭК обеспечивает активацию ключа доступа к ЭМ в случае восстановления работоспособности станции КЕГЭ/станции организатора;</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восстановления работоспособности станции КЕГЭ совместно с организатором в аудитории пров</w:t>
      </w:r>
      <w:r>
        <w:rPr>
          <w:rFonts w:ascii="Tinos" w:hAnsi="Tinos" w:eastAsia="Tinos" w:cs="Tinos"/>
          <w:sz w:val="28"/>
          <w:szCs w:val="28"/>
          <w:highlight w:val="none"/>
          <w:lang w:val="ru-RU"/>
        </w:rPr>
        <w:t xml:space="preserve">еряет, что на странице активации экзамена номер бланка регистрации, отображаемый на экране компьютера (ноутбука), соответствует номеру в бумажном бланке регистрации, и предлагает участнику экзамена ввести код активации и нажать кнопку «Продолжить экзамен»;</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eastAsia="Tinos" w:cs="Tinos"/>
          <w:sz w:val="28"/>
          <w:szCs w:val="28"/>
          <w:highlight w:val="none"/>
        </w:rPr>
      </w:pPr>
      <w:r>
        <w:rPr>
          <w:rFonts w:ascii="Tinos" w:hAnsi="Tinos" w:eastAsia="Tinos" w:cs="Tinos"/>
          <w:sz w:val="28"/>
          <w:szCs w:val="28"/>
          <w:highlight w:val="none"/>
          <w:lang w:val="ru-RU"/>
        </w:rPr>
        <w:t xml:space="preserve">в случае использования резервной станции КЕГЭ контролирует, что участник экзамена продолжает выполнение работы с тем же бланком регистрации, и совместно с организатором в ауди</w:t>
      </w:r>
      <w:r>
        <w:rPr>
          <w:rFonts w:ascii="Tinos" w:hAnsi="Tinos" w:eastAsia="Tinos" w:cs="Tinos"/>
          <w:sz w:val="28"/>
          <w:szCs w:val="28"/>
          <w:highlight w:val="none"/>
          <w:lang w:val="ru-RU"/>
        </w:rPr>
        <w:t xml:space="preserve">тории информирует участника экзамена о необходимости повторного ввода ответов на задания, которые были выполнены на выше</w:t>
      </w:r>
      <w:r>
        <w:rPr>
          <w:rFonts w:ascii="Tinos" w:hAnsi="Tinos" w:eastAsia="Tinos" w:cs="Tinos"/>
          <w:sz w:val="28"/>
          <w:szCs w:val="28"/>
          <w:highlight w:val="none"/>
          <w:lang w:val="ru-RU"/>
        </w:rPr>
        <w:t xml:space="preserve">дшей из строя станции, а также о том, что время экзамена не продлевается, сохранение ответов с вышедшей из строя станции не выполняется</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eastAsia="Tinos" w:cs="Tinos"/>
          <w:sz w:val="28"/>
          <w:szCs w:val="28"/>
          <w:highlight w:val="none"/>
        </w:rPr>
      </w:r>
    </w:p>
    <w:p>
      <w:pPr>
        <w:pStyle w:val="1003"/>
        <w:numPr>
          <w:ilvl w:val="2"/>
          <w:numId w:val="7"/>
        </w:numPr>
        <w:contextualSpacing/>
        <w:ind w:left="0" w:right="13" w:firstLine="709"/>
        <w:jc w:val="both"/>
        <w:spacing w:before="0" w:beforeAutospacing="0" w:after="0" w:afterAutospacing="0" w:line="240" w:lineRule="auto"/>
        <w:tabs>
          <w:tab w:val="left" w:pos="1276" w:leader="none"/>
          <w:tab w:val="left" w:pos="1417" w:leader="none"/>
        </w:tabs>
        <w:rPr>
          <w:rFonts w:ascii="Tinos" w:hAnsi="Tinos" w:cs="Tinos"/>
          <w:sz w:val="28"/>
          <w:szCs w:val="28"/>
          <w:highlight w:val="none"/>
        </w:rPr>
        <w:suppressLineNumbers w:val="0"/>
      </w:pPr>
      <w:r>
        <w:rPr>
          <w:rFonts w:ascii="Tinos" w:hAnsi="Tinos" w:eastAsia="Tinos" w:cs="Tinos"/>
          <w:sz w:val="28"/>
          <w:szCs w:val="28"/>
          <w:highlight w:val="none"/>
          <w:lang w:val="ru-RU"/>
        </w:rPr>
      </w:r>
      <w:r>
        <w:rPr>
          <w:rFonts w:ascii="Tinos" w:hAnsi="Tinos" w:eastAsia="Tinos" w:cs="Tinos"/>
          <w:sz w:val="28"/>
          <w:szCs w:val="28"/>
          <w:highlight w:val="none"/>
          <w:lang w:val="ru-RU"/>
        </w:rPr>
        <w:t xml:space="preserve">контролирует, что вышедшая из строя станция КЕГЭ оставлена в аудитории в зоне </w:t>
      </w:r>
      <w:r>
        <w:rPr>
          <w:rFonts w:ascii="Tinos" w:hAnsi="Tinos" w:eastAsia="Tinos" w:cs="Tinos"/>
          <w:sz w:val="28"/>
          <w:szCs w:val="28"/>
          <w:highlight w:val="none"/>
          <w:lang w:val="ru-RU"/>
        </w:rPr>
        <w:t xml:space="preserve">видимости камер видеонаблюдения до окончания экзамена;</w:t>
      </w:r>
      <w:r>
        <w:rPr>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после получения информации от руководителя ППЭ о завершении печати ЭМ и успешном начале экзамена на всех станциях КЕГЭ во всех аудиториях ППЭ (все участники ввели код активации </w:t>
      </w:r>
      <w:r>
        <w:rPr>
          <w:rFonts w:ascii="Tinos" w:hAnsi="Tinos" w:eastAsia="Tinos" w:cs="Tinos"/>
          <w:sz w:val="28"/>
          <w:szCs w:val="28"/>
          <w:highlight w:val="none"/>
          <w:lang w:val="ru-RU"/>
        </w:rPr>
        <w:t xml:space="preserve">экзамена</w:t>
      </w:r>
      <w:r>
        <w:rPr>
          <w:rFonts w:ascii="Tinos" w:hAnsi="Tinos" w:eastAsia="Tinos" w:cs="Tinos"/>
          <w:sz w:val="28"/>
          <w:szCs w:val="28"/>
          <w:highlight w:val="none"/>
          <w:lang w:val="ru-RU"/>
        </w:rPr>
        <w:t xml:space="preserve"> и перешли к выполнению </w:t>
      </w:r>
      <w:r>
        <w:rPr>
          <w:rFonts w:ascii="Tinos" w:hAnsi="Tinos" w:eastAsia="Tinos" w:cs="Tinos"/>
          <w:sz w:val="28"/>
          <w:szCs w:val="28"/>
          <w:highlight w:val="none"/>
          <w:lang w:val="ru-RU"/>
        </w:rPr>
        <w:t xml:space="preserve">экзаменационной работ</w:t>
      </w:r>
      <w:r>
        <w:rPr>
          <w:rFonts w:ascii="Tinos" w:hAnsi="Tinos" w:eastAsia="Tinos" w:cs="Tinos"/>
          <w:sz w:val="28"/>
          <w:szCs w:val="28"/>
          <w:highlight w:val="none"/>
          <w:lang w:val="ru-RU"/>
        </w:rPr>
        <w:t xml:space="preserve">ы</w:t>
      </w:r>
      <w:r>
        <w:rPr>
          <w:rFonts w:ascii="Tinos" w:hAnsi="Tinos" w:eastAsia="Tinos" w:cs="Tinos"/>
          <w:sz w:val="28"/>
          <w:szCs w:val="28"/>
          <w:highlight w:val="none"/>
          <w:lang w:val="ru-RU"/>
        </w:rPr>
        <w:t xml:space="preserve">) в личном кабинете ППЭ подтверждает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передачу техническим специалистом статуса «Экзамены успешно начались» либо статуса «Ожидание участника» в случае отсутствия всех участников экзамена в </w:t>
      </w:r>
      <w:r>
        <w:rPr>
          <w:rFonts w:ascii="Tinos" w:hAnsi="Tinos" w:eastAsia="Tinos" w:cs="Tinos"/>
          <w:sz w:val="28"/>
          <w:szCs w:val="28"/>
          <w:highlight w:val="none"/>
          <w:lang w:val="ru-RU"/>
        </w:rPr>
        <w:t xml:space="preserve">ППЭ в систему мониторинга готовности ППЭ (в случае если в ППЭ есть аудитории,</w:t>
      </w:r>
      <w:r>
        <w:rPr>
          <w:rFonts w:ascii="Tinos" w:hAnsi="Tinos" w:eastAsia="Tinos" w:cs="Tinos"/>
          <w:sz w:val="28"/>
          <w:szCs w:val="28"/>
          <w:highlight w:val="none"/>
          <w:lang w:val="ru-RU"/>
        </w:rPr>
        <w:t xml:space="preserve"> в которые не явился ни один участник, но при этом есть хотя бы одна аудитория, где экзамен начался, статус «Ожидание участников» не передаётся; после начала экзамена во всех аудиториях, в которые явились участники экзамена, ППЭ передаёт статус «Экзамены у</w:t>
      </w:r>
      <w:r>
        <w:rPr>
          <w:rFonts w:ascii="Tinos" w:hAnsi="Tinos" w:eastAsia="Tinos" w:cs="Tinos"/>
          <w:sz w:val="28"/>
          <w:szCs w:val="28"/>
          <w:highlight w:val="none"/>
          <w:lang w:val="ru-RU"/>
        </w:rPr>
        <w:t xml:space="preserve">спешно начались»).</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Статус «Ожидание участников» – временный, он обязательно должен быть отменён до окончания экзамена. Вместо него должен быть установлен ста</w:t>
      </w:r>
      <w:r>
        <w:rPr>
          <w:rFonts w:ascii="Tinos" w:hAnsi="Tinos" w:eastAsia="Tinos" w:cs="Tinos"/>
          <w:sz w:val="28"/>
          <w:szCs w:val="28"/>
          <w:highlight w:val="none"/>
          <w:lang w:val="ru-RU"/>
        </w:rPr>
        <w:t xml:space="preserve">тус «Экзамены успешно начались» в случае если участники явились на экзамен с опозданием, либо статус «Экзамен не состоялся» в случае если членом ГЭК было принято решение об остановке экзамена в ППЭ в связи с неявкой всех распределённых участников экзамена.</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если в течение двух часов от начала экзамена ни </w:t>
      </w:r>
      <w:r>
        <w:rPr>
          <w:rFonts w:ascii="Tinos" w:hAnsi="Tinos" w:eastAsia="Tinos" w:cs="Tinos"/>
          <w:sz w:val="28"/>
          <w:szCs w:val="28"/>
          <w:highlight w:val="none"/>
          <w:lang w:val="ru-RU"/>
        </w:rPr>
        <w:t xml:space="preserve">один из участников КЕГЭ, распределенных в ППЭ, не явился в ППЭ, член ГЭК по согласованию с председателем ГЭК принимает решение об остановке экзамена в ППЭ. Технический специалист завершает экзамены на всех станциях организатора и станциях КЕГЭ во всех ауди</w:t>
      </w:r>
      <w:r>
        <w:rPr>
          <w:rFonts w:ascii="Tinos" w:hAnsi="Tinos" w:eastAsia="Tinos" w:cs="Tinos"/>
          <w:sz w:val="28"/>
          <w:szCs w:val="28"/>
          <w:highlight w:val="none"/>
          <w:lang w:val="ru-RU"/>
        </w:rPr>
        <w:t xml:space="preserve">ториях ППЭ, включая резервные станции организатора и станции КЕГЭ. На станциях организатора выполняется печать протоколов использования станции организатора в аудитории ППЭ (форма ППЭ-23-01) и сохранение электронного журнала работы станции организатора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на станциях КЕГЭ сохраняется электронный журнал работы станции КЕГЭ. Протоколы использования станции организатора в аудитории ППЭ (форма ППЭ-23-01)</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подписываются техническим специалистом, членом ГЭК и </w:t>
      </w:r>
      <w:r>
        <w:rPr>
          <w:rFonts w:ascii="Tinos" w:hAnsi="Tinos" w:eastAsia="Tinos" w:cs="Tinos"/>
          <w:sz w:val="28"/>
          <w:szCs w:val="28"/>
          <w:highlight w:val="none"/>
          <w:lang w:val="ru-RU"/>
        </w:rPr>
        <w:t xml:space="preserve">руководителем ППЭ и остаются на хранение в ППЭ. Электронные журналы работы станций организатора, станций КЕГЭ передаются в систему мониторинга готовности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отсутствия участников во всех аудиториях ППЭ технический специалист по указанию руководителя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отменяет статус «Ожидание участника» и передает статус «Экзамен не состоялся» в систему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неявки всех распределенных в отдельные ауд</w:t>
      </w:r>
      <w:r>
        <w:rPr>
          <w:rFonts w:ascii="Tinos" w:hAnsi="Tinos" w:eastAsia="Tinos" w:cs="Tinos"/>
          <w:sz w:val="28"/>
          <w:szCs w:val="28"/>
          <w:highlight w:val="none"/>
          <w:lang w:val="ru-RU"/>
        </w:rPr>
        <w:t xml:space="preserve">итории ППЭ участников экзаменов в течение двух часов от начала экзамена принимает решение по согласованию с председателем ГЭК об остановке экзамена в этих аудиториях ППЭ. Протоколы использования станции организатора в ППЭ (форма ППЭ-23-01) подписываются те</w:t>
      </w:r>
      <w:r>
        <w:rPr>
          <w:rFonts w:ascii="Tinos" w:hAnsi="Tinos" w:eastAsia="Tinos" w:cs="Tinos"/>
          <w:sz w:val="28"/>
          <w:szCs w:val="28"/>
          <w:highlight w:val="none"/>
          <w:lang w:val="ru-RU"/>
        </w:rPr>
        <w:t xml:space="preserve">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 готовности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1"/>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выполнения </w:t>
      </w:r>
      <w:r>
        <w:rPr>
          <w:rFonts w:ascii="Tinos" w:hAnsi="Tinos" w:eastAsia="Tinos" w:cs="Tinos"/>
          <w:sz w:val="28"/>
          <w:szCs w:val="28"/>
          <w:highlight w:val="none"/>
          <w:lang w:val="ru-RU"/>
        </w:rPr>
        <w:t xml:space="preserve">экзаменационной работы</w:t>
      </w:r>
      <w:r>
        <w:rPr>
          <w:rFonts w:ascii="Tinos" w:hAnsi="Tinos" w:eastAsia="Tinos" w:cs="Tinos"/>
          <w:sz w:val="28"/>
          <w:szCs w:val="28"/>
          <w:highlight w:val="none"/>
          <w:lang w:val="ru-RU"/>
        </w:rPr>
        <w:t xml:space="preserve"> участниками экзамена во всех аудиториях ППЭ (все участники экзамена покинули аудитории) член ГЭК:</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 подтверждает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передачу статуса «Экзамены завершены» в систему мониторинга готовности ППЭ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аудиториях ППЭ после сканирования бланков регистрации участников экзамена организаторами: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 приглашен</w:t>
      </w:r>
      <w:r>
        <w:rPr>
          <w:rFonts w:ascii="Tinos" w:hAnsi="Tinos" w:eastAsia="Tinos" w:cs="Tinos"/>
          <w:sz w:val="28"/>
          <w:szCs w:val="28"/>
          <w:highlight w:val="none"/>
          <w:lang w:val="ru-RU"/>
        </w:rPr>
        <w:t xml:space="preserve">ию технического специалиста проверяет, что экспортируемые данные не содержат особых ситуаций и сверяет данные о количестве отсканированных бланков регистрации, указанном на станции организатора, с количеством бланков регистрации, указанном в форме ППЭ-11;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 корректности данных подключает к станции организатора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для выполнения техническим специалистом экспорта электронных образов бланков регистрации и форм ППЭ, сканируемых в аудитории. Пакет с электронными образами бланков регистрации и форм ППЭ зашифровывается для передачи в РЦОИ;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возникновения нештатной ситуации на станции организатора, которая не может быт</w:t>
      </w:r>
      <w:r>
        <w:rPr>
          <w:rFonts w:ascii="Tinos" w:hAnsi="Tinos" w:eastAsia="Tinos" w:cs="Tinos"/>
          <w:sz w:val="28"/>
          <w:szCs w:val="28"/>
          <w:highlight w:val="none"/>
          <w:lang w:val="ru-RU"/>
        </w:rPr>
        <w:t xml:space="preserve">ь решена штатными средствами станции организатора, принимает решение по согласованию с РЦОИ о сканировании бланков регистрации участников соответствующей аудитории и форм ППЭ, предназначенных для сканирования в аудитории, в Штабе ППЭ на станции Штаба ППЭ;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осуществляет </w:t>
      </w:r>
      <w:r>
        <w:rPr>
          <w:rFonts w:ascii="Tinos" w:hAnsi="Tinos" w:eastAsia="Tinos" w:cs="Tinos"/>
          <w:sz w:val="28"/>
          <w:szCs w:val="28"/>
          <w:highlight w:val="none"/>
          <w:lang w:val="ru-RU"/>
        </w:rPr>
        <w:t xml:space="preserve">контроль за</w:t>
      </w:r>
      <w:r>
        <w:rPr>
          <w:rFonts w:ascii="Tinos" w:hAnsi="Tinos" w:eastAsia="Tinos" w:cs="Tinos"/>
          <w:sz w:val="28"/>
          <w:szCs w:val="28"/>
          <w:highlight w:val="none"/>
          <w:lang w:val="ru-RU"/>
        </w:rPr>
        <w:t xml:space="preserve"> получением ЭМ руководителем ППЭ от ответственных организаторов в Штабе ППЭ за специально подготовленным столом, находящимся в зоне видимости камер видеонаблюдения, по форме ППЭ-14-02-К. Все бланки регистрации сдаются в одном запечатанном </w:t>
      </w:r>
      <w:r>
        <w:rPr>
          <w:rFonts w:ascii="Tinos" w:hAnsi="Tinos" w:eastAsia="Tinos" w:cs="Tinos"/>
          <w:sz w:val="28"/>
          <w:szCs w:val="28"/>
          <w:highlight w:val="none"/>
          <w:lang w:val="ru-RU"/>
        </w:rPr>
        <w:t xml:space="preserve">конверте</w:t>
      </w:r>
      <w:r>
        <w:rPr>
          <w:rFonts w:ascii="Tinos" w:hAnsi="Tinos" w:eastAsia="Tinos" w:cs="Tinos"/>
          <w:sz w:val="28"/>
          <w:szCs w:val="28"/>
          <w:highlight w:val="none"/>
          <w:lang w:val="ru-RU"/>
        </w:rPr>
        <w:t xml:space="preserve"> с заполненным сопроводительным бланком</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форма ППЭ-11</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ind w:left="709" w:right="13" w:firstLine="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Также сдаются: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с испорченными (бракованными) бланками регистрации</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 заполненным сопроводительным бланком</w:t>
      </w:r>
      <w:r>
        <w:rPr>
          <w:rFonts w:ascii="Tinos" w:hAnsi="Tinos" w:eastAsia="Tinos" w:cs="Tinos"/>
          <w:sz w:val="28"/>
          <w:szCs w:val="28"/>
          <w:highlight w:val="none"/>
          <w:lang w:val="ru-RU"/>
        </w:rPr>
        <w:t xml:space="preserve"> (форма ППЭ-11)</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калибровочный лист с каждой использованной в аудитории станции организатора;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формы ППЭ-05-02-К, ППЭ-12-02, ППЭ-12-04-МАШ;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конверты с использованными черновиками и черновиками КЕГЭ </w:t>
      </w:r>
      <w:r>
        <w:rPr>
          <w:rFonts w:ascii="Tinos" w:hAnsi="Tinos" w:eastAsia="Tinos" w:cs="Tinos"/>
          <w:sz w:val="28"/>
          <w:szCs w:val="28"/>
          <w:highlight w:val="none"/>
          <w:lang w:val="ru-RU"/>
        </w:rPr>
        <w:t xml:space="preserve">с заполненным сопроводительным бланком</w:t>
      </w:r>
      <w:r>
        <w:rPr>
          <w:rFonts w:ascii="Tinos" w:hAnsi="Tinos" w:eastAsia="Tinos" w:cs="Tinos"/>
          <w:sz w:val="28"/>
          <w:szCs w:val="28"/>
          <w:highlight w:val="none"/>
          <w:lang w:val="ru-RU"/>
        </w:rPr>
        <w:t xml:space="preserve"> (форма </w:t>
      </w:r>
      <w:r>
        <w:rPr>
          <w:rFonts w:ascii="Tinos" w:hAnsi="Tinos" w:eastAsia="Tinos" w:cs="Tinos"/>
          <w:sz w:val="28"/>
          <w:szCs w:val="28"/>
          <w:highlight w:val="none"/>
          <w:lang w:val="ru-RU"/>
        </w:rPr>
        <w:t xml:space="preserve">ППЭ-11-01</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неиспользованные черновики;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станции КЕГЭ;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служебные записки (при наличии);</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рисутствует при заве</w:t>
      </w:r>
      <w:r>
        <w:rPr>
          <w:rFonts w:ascii="Tinos" w:hAnsi="Tinos" w:eastAsia="Tinos" w:cs="Tinos"/>
          <w:sz w:val="28"/>
          <w:szCs w:val="28"/>
          <w:highlight w:val="none"/>
          <w:lang w:val="ru-RU"/>
        </w:rPr>
        <w:t xml:space="preserve">ршении техническим специалистом экзамена на станциях КЕГЭ, на которых работали удалённые из ППЭ или не завершившие экзамен по объективным причинам участники КЕГЭ (а также участники, отказавшиеся подтвердить ознакомление с протоколом ответов участника КЕГЭ)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о приглашению технического специалиста проходит к станции КЕГЭ, на которой будет производиться формирование (экспорт) па</w:t>
      </w:r>
      <w:r>
        <w:rPr>
          <w:rFonts w:ascii="Tinos" w:hAnsi="Tinos" w:eastAsia="Tinos" w:cs="Tinos"/>
          <w:sz w:val="28"/>
          <w:szCs w:val="28"/>
          <w:highlight w:val="none"/>
          <w:lang w:val="ru-RU"/>
        </w:rPr>
        <w:t xml:space="preserve">кета с ответами участников КЕГЭ;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рисутствует при подключении техническим специалистом к станции КЕГЭ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с сохраненными ответами участников КЕГЭ и выполнении проверки</w:t>
      </w:r>
      <w:r>
        <w:rPr>
          <w:rFonts w:ascii="Tinos" w:hAnsi="Tinos" w:eastAsia="Tinos" w:cs="Tinos"/>
          <w:sz w:val="28"/>
          <w:szCs w:val="28"/>
          <w:highlight w:val="none"/>
          <w:lang w:val="ru-RU"/>
        </w:rPr>
        <w:t xml:space="preserve"> сохраненных ответов.</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Для выполнения действия необходимо выбрать станцию КЕГЭ, имеющую два свободных USB-порта. В случае использования USB-концентратора рекомендуется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подключать непосредственно в USB-порт компьютера (ноутбука), 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через USB-концентратор.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отсутствия нештатных ситуаций в результате выполненной проверки подключает к станции КЕГЭ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и вводит пароль к нему;</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даёт указание техническому специалисту запустить формирование (экспорт) пакета.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не следует извлекать до окончания процедуры формирования (экспорта) пакета.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Пакет с ответами участников КЕГЭ формируется на основе всех сохраненных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ответов участников экзамена. Одновременно выполняется формирование и сохранение сопроводительного бланка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включающего сведения о содержании сформированного пакета</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одписывает распечатанный сопроводительный бланк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для сохранения ответов участников КЕГЭ. Указанный сопроводительный бланк может быть распечатан на любом компьютере (ноутбуке) с подключенным принтером.</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Каждый пакет должен храниться и передаваться на том </w:t>
      </w:r>
      <w:r>
        <w:rPr>
          <w:rFonts w:ascii="Tinos" w:hAnsi="Tinos" w:eastAsia="Tinos" w:cs="Tinos"/>
          <w:sz w:val="28"/>
          <w:szCs w:val="28"/>
          <w:highlight w:val="none"/>
          <w:lang w:val="ru-RU"/>
        </w:rPr>
        <w:t xml:space="preserve">флеш-накопителе</w:t>
      </w:r>
      <w:r>
        <w:rPr>
          <w:rFonts w:ascii="Tinos" w:hAnsi="Tinos" w:eastAsia="Tinos" w:cs="Tinos"/>
          <w:sz w:val="28"/>
          <w:szCs w:val="28"/>
          <w:highlight w:val="none"/>
          <w:lang w:val="ru-RU"/>
        </w:rPr>
        <w:t xml:space="preserve">, на котором он был создан. Недопустимо копировать или перемещать пакеты с ответами участников экзамена с одного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на другой (копировать несколько пакетов на один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В случае наличия на </w:t>
      </w:r>
      <w:r>
        <w:rPr>
          <w:rFonts w:ascii="Tinos" w:hAnsi="Tinos" w:eastAsia="Tinos" w:cs="Tinos"/>
          <w:sz w:val="28"/>
          <w:szCs w:val="28"/>
          <w:highlight w:val="none"/>
          <w:lang w:val="ru-RU"/>
        </w:rPr>
        <w:t xml:space="preserve">флеш-накопителе</w:t>
      </w:r>
      <w:r>
        <w:rPr>
          <w:rFonts w:ascii="Tinos" w:hAnsi="Tinos" w:eastAsia="Tinos" w:cs="Tinos"/>
          <w:sz w:val="28"/>
          <w:szCs w:val="28"/>
          <w:highlight w:val="none"/>
          <w:lang w:val="ru-RU"/>
        </w:rPr>
        <w:t xml:space="preserve"> ранее сформированного пакета и/или сопроводите</w:t>
      </w:r>
      <w:r>
        <w:rPr>
          <w:rFonts w:ascii="Tinos" w:hAnsi="Tinos" w:eastAsia="Tinos" w:cs="Tinos"/>
          <w:sz w:val="28"/>
          <w:szCs w:val="28"/>
          <w:highlight w:val="none"/>
          <w:lang w:val="ru-RU"/>
        </w:rPr>
        <w:t xml:space="preserve">льного бланка они будут удалены;</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случае наличия в результате выполненной проверки сообщений о поврежденных файлах ответов присутствует при устранении п</w:t>
      </w:r>
      <w:r>
        <w:rPr>
          <w:rFonts w:ascii="Tinos" w:hAnsi="Tinos" w:eastAsia="Tinos" w:cs="Tinos"/>
          <w:sz w:val="28"/>
          <w:szCs w:val="28"/>
          <w:highlight w:val="none"/>
          <w:lang w:val="ru-RU"/>
        </w:rPr>
        <w:t xml:space="preserve">роблем техническим специалистом;</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Штабе ППЭ совместно с руководителем ППЭ сверяет данные сопроводительного бланка (бланков)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флеш-накопителям</w:t>
      </w:r>
      <w:r>
        <w:rPr>
          <w:rFonts w:ascii="Tinos" w:hAnsi="Tinos" w:eastAsia="Tinos" w:cs="Tinos"/>
          <w:sz w:val="28"/>
          <w:szCs w:val="28"/>
          <w:highlight w:val="none"/>
          <w:lang w:val="ru-RU"/>
        </w:rPr>
        <w:t xml:space="preserve">) для сохранения ответов участников экзамена с ведомостью сдачи экзамена в аудитории (аудиториях);</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 </w:t>
      </w:r>
      <w:r>
        <w:rPr>
          <w:rFonts w:ascii="Tinos" w:hAnsi="Tinos" w:eastAsia="Tinos" w:cs="Tinos"/>
          <w:sz w:val="28"/>
          <w:szCs w:val="28"/>
          <w:highlight w:val="none"/>
          <w:lang w:val="ru-RU"/>
        </w:rPr>
        <w:t xml:space="preserve">личном кабинете ППЭ в Штабе ППЭ подтверждает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передачу техническим специалистом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 пакета (пакетов для каждой аудитории проведения) с ответами участников КЕГЭ в РЦОИ (может быть </w:t>
      </w:r>
      <w:r>
        <w:rPr>
          <w:rFonts w:ascii="Tinos" w:hAnsi="Tinos" w:eastAsia="Tinos" w:cs="Tinos"/>
          <w:sz w:val="28"/>
          <w:szCs w:val="28"/>
          <w:highlight w:val="none"/>
          <w:lang w:val="ru-RU"/>
        </w:rPr>
        <w:t xml:space="preserve">передан</w:t>
      </w:r>
      <w:r>
        <w:rPr>
          <w:rFonts w:ascii="Tinos" w:hAnsi="Tinos" w:eastAsia="Tinos" w:cs="Tinos"/>
          <w:sz w:val="28"/>
          <w:szCs w:val="28"/>
          <w:highlight w:val="none"/>
          <w:lang w:val="ru-RU"/>
        </w:rPr>
        <w:t xml:space="preserve"> вместе с пакетом электронных образов бланков и форм ППЭ после зав</w:t>
      </w:r>
      <w:r>
        <w:rPr>
          <w:rFonts w:ascii="Tinos" w:hAnsi="Tinos" w:eastAsia="Tinos" w:cs="Tinos"/>
          <w:sz w:val="28"/>
          <w:szCs w:val="28"/>
          <w:highlight w:val="none"/>
          <w:lang w:val="ru-RU"/>
        </w:rPr>
        <w:t xml:space="preserve">ершения процедуры сканирования);</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электронных журналов всех основных и резервных станций организатора и станций КЕГЭ в систему мониторинга готовности ППЭ (передачу журналов станций КЕГЭ следует выполнять после подтверждения получения пакетов с ответами участников КЕГЭ).</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bCs/>
          <w:sz w:val="28"/>
          <w:szCs w:val="28"/>
          <w:highlight w:val="none"/>
          <w:lang w:val="ru-RU"/>
        </w:rPr>
        <w:t xml:space="preserve">д</w:t>
      </w:r>
      <w:r>
        <w:rPr>
          <w:rFonts w:ascii="Tinos" w:hAnsi="Tinos" w:eastAsia="Tinos" w:cs="Tinos"/>
          <w:bCs/>
          <w:sz w:val="28"/>
          <w:szCs w:val="28"/>
          <w:highlight w:val="none"/>
          <w:lang w:val="ru-RU"/>
        </w:rPr>
        <w:t xml:space="preserve">ля обеспечения сканирования форм ППЭ в Штабе ППЭ </w:t>
      </w:r>
      <w:r>
        <w:rPr>
          <w:rFonts w:ascii="Tinos" w:hAnsi="Tinos" w:eastAsia="Tinos" w:cs="Tinos"/>
          <w:sz w:val="28"/>
          <w:szCs w:val="28"/>
          <w:highlight w:val="none"/>
          <w:lang w:val="ru-RU"/>
        </w:rPr>
        <w:t xml:space="preserve">член ГЭК</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 по приглашению технического специалиста ППЭ активирует загруженный на станцию Штаба ППЭ ключ доступа к ЭМ: подключает к станции Штаба ППЭ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bCs/>
          <w:sz w:val="28"/>
          <w:szCs w:val="28"/>
          <w:highlight w:val="none"/>
        </w:rPr>
        <w:t xml:space="preserve">Важно! </w:t>
      </w:r>
      <w:r>
        <w:rPr>
          <w:rFonts w:ascii="Tinos" w:hAnsi="Tinos" w:eastAsia="Tinos" w:cs="Tinos"/>
          <w:sz w:val="28"/>
          <w:szCs w:val="28"/>
          <w:highlight w:val="none"/>
        </w:rPr>
        <w:t xml:space="preserve">Активация станции Штаба ППЭ должна быть выполнена непосредственно перед началом процесса сканирования ЭМ, поступающих из аудиторий в Штаб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руководителем ППЭ оформляет необходимые документы по результатам проведения экзамена в ППЭ по следующим формам: </w:t>
      </w:r>
      <w:r>
        <w:rPr>
          <w:rFonts w:ascii="Tinos" w:hAnsi="Tinos" w:eastAsia="Tinos" w:cs="Tinos"/>
          <w:sz w:val="28"/>
          <w:szCs w:val="28"/>
          <w:highlight w:val="none"/>
          <w:lang w:val="ru-RU"/>
        </w:rPr>
        <w:t xml:space="preserve">ППЭ-13-03-К, </w:t>
      </w:r>
      <w:r>
        <w:rPr>
          <w:rFonts w:ascii="Tinos" w:hAnsi="Tinos" w:eastAsia="Tinos" w:cs="Tinos"/>
          <w:sz w:val="28"/>
          <w:szCs w:val="28"/>
          <w:highlight w:val="none"/>
          <w:lang w:val="ru-RU"/>
        </w:rPr>
        <w:t xml:space="preserve">ППЭ-14-02-К;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 приглашению техниче</w:t>
      </w:r>
      <w:r>
        <w:rPr>
          <w:rFonts w:ascii="Tinos" w:hAnsi="Tinos" w:eastAsia="Tinos" w:cs="Tinos"/>
          <w:sz w:val="28"/>
          <w:szCs w:val="28"/>
          <w:highlight w:val="none"/>
          <w:lang w:val="ru-RU"/>
        </w:rPr>
        <w:t xml:space="preserve">ского специалиста ППЭ проверяет, что экспортируемые данные не содержат особых ситуаций и сверяет данные о количестве отсканированных бланков регистрации по аудиториям, указанные на станции Штаба ППЭ, с количеством бланков регистрации из формы ППЭ-13-03-К;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техническим специалистом ППЭ несёт ответственность за экспортируемые данные, в том числе за качество сканирования бланков регистрации и форм ППЭ;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при корректности данных подключает к станции Штаба ППЭ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и вводит пароль доступа к нему для выполнения техническим специалистом ППЭ экспорта электронных образов форм ППЭ: пакет с электронными образами форм ППЭ зашифровывается для передачи в РЦОИ;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 личном кабинете ППЭ подтверждает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загрузку техническим специалистом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пакета (пакетов) с электронными образами бланков регистрации и форм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пакета (пакетов) с ответами участников КЕГЭ (если не был передан ранее, пакет (пакеты) с ответами участников КЕГЭ могут быть переданы после завершения сверки руководителем ППЭ и членом ГЭК данных сопроводительного бланка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с ведомостями сдачи экзамена в аудиториях до завершения сканирования бланков регистрации);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присутствует при проверке соответствия загруж</w:t>
      </w:r>
      <w:r>
        <w:rPr>
          <w:rFonts w:ascii="Tinos" w:hAnsi="Tinos" w:eastAsia="Tinos" w:cs="Tinos"/>
          <w:sz w:val="28"/>
          <w:szCs w:val="28"/>
          <w:highlight w:val="none"/>
          <w:lang w:val="ru-RU"/>
        </w:rPr>
        <w:t xml:space="preserve">енных пакетов информации о рассадке и передаче пакетов в РЦОИ посредством личного кабинета ППЭ. В случае возникновения нештатной ситуации, связанной с рассадкой, обеспечивает получение по телефону от РЦОИ кода, который позволит выполнить передачу пакетов;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w:t>
      </w:r>
      <w:r>
        <w:rPr>
          <w:rFonts w:ascii="Tinos" w:hAnsi="Tinos" w:eastAsia="Tinos" w:cs="Tinos"/>
          <w:sz w:val="28"/>
          <w:szCs w:val="28"/>
          <w:highlight w:val="none"/>
          <w:lang w:val="ru-RU"/>
        </w:rPr>
        <w:t xml:space="preserve"> с руководителем ППЭ и техническим специалистом ППЭ ожидает в Ш</w:t>
      </w:r>
      <w:r>
        <w:rPr>
          <w:rFonts w:ascii="Tinos" w:hAnsi="Tinos" w:eastAsia="Tinos" w:cs="Tinos"/>
          <w:sz w:val="28"/>
          <w:szCs w:val="28"/>
          <w:highlight w:val="none"/>
          <w:lang w:val="ru-RU"/>
        </w:rPr>
        <w:t xml:space="preserve">табе ППЭ подтверждения от РЦОИ факта успешного получения и расшифровки переданных пакетов с электронными образами бланков регистрации и форм ППЭ, получения пакета (пакетов) с ответами участников КЕГЭ (статус всех пакетов принимает значение «Подтвержден»).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если по запросу РЦОИ необходимо использовать нов</w:t>
      </w:r>
      <w:r>
        <w:rPr>
          <w:rFonts w:ascii="Tinos" w:hAnsi="Tinos" w:eastAsia="Tinos" w:cs="Tinos"/>
          <w:sz w:val="28"/>
          <w:szCs w:val="28"/>
          <w:highlight w:val="none"/>
          <w:lang w:val="ru-RU"/>
        </w:rPr>
        <w:t xml:space="preserve">ый пакет с сертификатами специалистов РЦОИ для экспорта бланков и (или) форм ППЭ и (или) ответов участников КЕГЭ, совместно с техническим специалистом выполняет повторный экспорт на соответствующей станции организатора, станции Штаба ППЭ или станции КЕГЭ. </w:t>
      </w:r>
      <w:r>
        <w:rPr>
          <w:rFonts w:ascii="Tinos" w:hAnsi="Tinos" w:cs="Tinos"/>
          <w:sz w:val="28"/>
          <w:szCs w:val="28"/>
          <w:highlight w:val="none"/>
        </w:rPr>
      </w:r>
      <w:r>
        <w:rPr>
          <w:rFonts w:ascii="Tinos" w:hAnsi="Tinos" w:cs="Tinos"/>
          <w:sz w:val="28"/>
          <w:szCs w:val="28"/>
          <w:highlight w:val="none"/>
        </w:rPr>
      </w:r>
    </w:p>
    <w:p>
      <w:pPr>
        <w:pStyle w:val="1003"/>
        <w:numPr>
          <w:ilvl w:val="2"/>
          <w:numId w:val="7"/>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если по запросу РЦОИ необходимо повторно отсканировать бланки, отсканированные на</w:t>
      </w:r>
      <w:r>
        <w:rPr>
          <w:rFonts w:ascii="Tinos" w:hAnsi="Tinos" w:eastAsia="Tinos" w:cs="Tinos"/>
          <w:sz w:val="28"/>
          <w:szCs w:val="28"/>
          <w:highlight w:val="none"/>
          <w:lang w:val="ru-RU"/>
        </w:rPr>
        <w:t xml:space="preserve"> станции организатора (несоответствие состава или качества сканирования), принимает решение по согласованию с РЦОИ о сканировании бланков соответствующей аудитории, и форм ППЭ, предназначенных для сканирования в аудитории, на станции Штаба ППЭ в Штабе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присутствует при вскрытии руководителем ППЭ конверта с бланками, полученными от ответственных организаторов соответствующей аудитории, пересчёте бланков и передаче конверта техническому специалисту;</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 пригл</w:t>
      </w:r>
      <w:r>
        <w:rPr>
          <w:rFonts w:ascii="Tinos" w:hAnsi="Tinos" w:eastAsia="Tinos" w:cs="Tinos"/>
          <w:sz w:val="28"/>
          <w:szCs w:val="28"/>
          <w:highlight w:val="none"/>
          <w:lang w:val="ru-RU"/>
        </w:rPr>
        <w:t xml:space="preserve">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соответствующей аудитории, указанные на Станции Штаба ППЭ, с количеством бланков из формы ППЭ-13-03-К;</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 корректности данных по всем аудиториям подключает к станции Штаба ППЭ </w:t>
      </w: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для выполнения техническим специалистом экспорта электронных образов бланков регистрации и форм ППЭ. Пакет с электронными образами бланков регистрации и форм ППЭ зашифровывается для передачи 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присутствует при переупаковке бланков регистрации руководителем ППЭ: бланки регистрации помещаются</w:t>
      </w:r>
      <w:r>
        <w:rPr>
          <w:rFonts w:ascii="Tinos" w:hAnsi="Tinos" w:eastAsia="Tinos" w:cs="Tinos"/>
          <w:sz w:val="28"/>
          <w:szCs w:val="28"/>
          <w:highlight w:val="none"/>
          <w:lang w:val="ru-RU"/>
        </w:rPr>
        <w:t xml:space="preserve"> в новый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на его сопроводительный бланк переносится информация с ВДП, в котором бланки регистрации были доставлены в Штаб ППЭ, а также вкладывается калибровочный лист и первый ВДП;</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после получения от РЦОИ подтверждения по всем пакетам подписывает распечатанный протокол проведения процедуры сканирования в ППЭ;</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подтверждает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 передачу техническим специалистом ППЭ в систему мониторинга готовности ППЭ в личном кабинете ППЭ электронных журналов работы основной и резервной станций Штаба ППЭ и статуса «Материалы переданы в РЦОИ»;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руководителем ППЭ ещё раз пересчитывают все бланки регистрации, сверяют информацию на сопроводительных бланках </w:t>
      </w:r>
      <w:r>
        <w:rPr>
          <w:rFonts w:ascii="Tinos" w:hAnsi="Tinos" w:eastAsia="Tinos" w:cs="Tinos"/>
          <w:sz w:val="28"/>
          <w:szCs w:val="28"/>
          <w:highlight w:val="none"/>
          <w:lang w:val="ru-RU"/>
        </w:rPr>
        <w:t xml:space="preserve">конвертов </w:t>
      </w:r>
      <w:r>
        <w:rPr>
          <w:rFonts w:ascii="Tinos" w:hAnsi="Tinos" w:eastAsia="Tinos" w:cs="Tinos"/>
          <w:sz w:val="28"/>
          <w:szCs w:val="28"/>
          <w:highlight w:val="none"/>
          <w:lang w:val="ru-RU"/>
        </w:rPr>
        <w:br/>
        <w:t xml:space="preserve">(форма ППЭ-11)</w:t>
      </w:r>
      <w:r>
        <w:rPr>
          <w:rFonts w:ascii="Tinos" w:hAnsi="Tinos" w:eastAsia="Tinos" w:cs="Tinos"/>
          <w:sz w:val="28"/>
          <w:szCs w:val="28"/>
          <w:highlight w:val="none"/>
          <w:lang w:val="ru-RU"/>
        </w:rPr>
        <w:t xml:space="preserve">, в которых бланки регистрации были доставлены из аудиторий в Штаб ППЭ, и нового </w:t>
      </w:r>
      <w:r>
        <w:rPr>
          <w:rFonts w:ascii="Tinos" w:hAnsi="Tinos" w:eastAsia="Tinos" w:cs="Tinos"/>
          <w:sz w:val="28"/>
          <w:szCs w:val="28"/>
          <w:highlight w:val="none"/>
          <w:lang w:val="ru-RU"/>
        </w:rPr>
        <w:t xml:space="preserve">конверта</w:t>
      </w:r>
      <w:r>
        <w:rPr>
          <w:rFonts w:ascii="Tinos" w:hAnsi="Tinos" w:eastAsia="Tinos" w:cs="Tinos"/>
          <w:sz w:val="28"/>
          <w:szCs w:val="28"/>
          <w:highlight w:val="none"/>
          <w:lang w:val="ru-RU"/>
        </w:rPr>
        <w:t xml:space="preserve">, проверяют, что в новые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вложены калибровочные листы и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в которых бланки регистрации были доставлены из аудиторий в Штаб ППЭ, и запечатывают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с бланками регистрации для</w:t>
      </w:r>
      <w:r>
        <w:rPr>
          <w:rFonts w:ascii="Tinos" w:hAnsi="Tinos" w:eastAsia="Tinos" w:cs="Tinos"/>
          <w:sz w:val="28"/>
          <w:szCs w:val="28"/>
          <w:highlight w:val="none"/>
          <w:lang w:val="ru-RU"/>
        </w:rPr>
        <w:t xml:space="preserve"> хранения и транспортировки.</w:t>
      </w:r>
      <w:r>
        <w:rPr>
          <w:rFonts w:ascii="Tinos" w:hAnsi="Tinos" w:cs="Tinos"/>
          <w:sz w:val="28"/>
          <w:szCs w:val="28"/>
          <w:highlight w:val="none"/>
        </w:rPr>
      </w:r>
      <w:r>
        <w:rPr>
          <w:rFonts w:ascii="Tinos" w:hAnsi="Tinos" w:cs="Tinos"/>
          <w:sz w:val="28"/>
          <w:szCs w:val="28"/>
          <w:highlight w:val="none"/>
        </w:rPr>
      </w:r>
    </w:p>
    <w:p>
      <w:pPr>
        <w:pStyle w:val="1003"/>
        <w:numPr>
          <w:ilvl w:val="1"/>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окончания экзамена член ГЭК упаковывает за специально подготовленным столом, находящимся в зоне видимости камер видеонаблюдения, материалы экзамена. Все упакованные материалы помещаются на хранение в соответствии со схемой, утвержд</w:t>
      </w:r>
      <w:r>
        <w:rPr>
          <w:rFonts w:ascii="Tinos" w:hAnsi="Tinos" w:eastAsia="Tinos" w:cs="Tinos"/>
          <w:sz w:val="28"/>
          <w:szCs w:val="28"/>
          <w:highlight w:val="none"/>
          <w:lang w:val="ru-RU"/>
        </w:rPr>
        <w:t xml:space="preserve">е</w:t>
      </w:r>
      <w:r>
        <w:rPr>
          <w:rFonts w:ascii="Tinos" w:hAnsi="Tinos" w:eastAsia="Tinos" w:cs="Tinos"/>
          <w:sz w:val="28"/>
          <w:szCs w:val="28"/>
          <w:highlight w:val="none"/>
          <w:lang w:val="ru-RU"/>
        </w:rPr>
        <w:t xml:space="preserve">нной </w:t>
      </w:r>
      <w:r>
        <w:rPr>
          <w:rFonts w:ascii="Tinos" w:hAnsi="Tinos" w:eastAsia="Tinos" w:cs="Tinos"/>
          <w:sz w:val="28"/>
          <w:szCs w:val="28"/>
          <w:highlight w:val="none"/>
          <w:lang w:val="ru-RU"/>
        </w:rPr>
        <w:t xml:space="preserve">Министерством образования области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1"/>
          <w:numId w:val="7"/>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завершении экзамена члены ГЭК составляют отчет о проведении экзамена в ППЭ (форма ППЭ-10).</w:t>
      </w:r>
      <w:r>
        <w:rPr>
          <w:rFonts w:ascii="Tinos" w:hAnsi="Tinos" w:cs="Tinos"/>
          <w:sz w:val="28"/>
          <w:szCs w:val="28"/>
          <w:highlight w:val="none"/>
        </w:rPr>
      </w:r>
      <w:r>
        <w:rPr>
          <w:rFonts w:ascii="Tinos" w:hAnsi="Tinos" w:cs="Tinos"/>
          <w:sz w:val="28"/>
          <w:szCs w:val="28"/>
          <w:highlight w:val="none"/>
        </w:rPr>
      </w:r>
    </w:p>
    <w:p>
      <w:pPr>
        <w:shd w:val="nil" w:color="auto"/>
        <w:rPr>
          <w:rFonts w:ascii="Tinos" w:hAnsi="Tinos" w:cs="Tinos"/>
          <w:sz w:val="28"/>
          <w:szCs w:val="28"/>
          <w:highlight w:val="cyan"/>
        </w:rPr>
      </w:pPr>
      <w:r>
        <w:rPr>
          <w:rFonts w:ascii="Tinos" w:hAnsi="Tinos" w:eastAsia="Tinos" w:cs="Tinos"/>
          <w:sz w:val="28"/>
          <w:szCs w:val="28"/>
          <w:highlight w:val="none"/>
        </w:rPr>
        <w:br w:type="page" w:clear="all"/>
      </w:r>
      <w:r>
        <w:rPr>
          <w:rFonts w:ascii="Tinos" w:hAnsi="Tinos" w:eastAsia="Tinos" w:cs="Tinos"/>
          <w:sz w:val="28"/>
          <w:szCs w:val="28"/>
          <w:highlight w:val="none"/>
        </w:rPr>
      </w:r>
      <w:r>
        <w:rPr>
          <w:rFonts w:ascii="Tinos" w:hAnsi="Tinos" w:cs="Tinos"/>
          <w:sz w:val="28"/>
          <w:szCs w:val="28"/>
          <w:highlight w:val="cyan"/>
        </w:rPr>
      </w:r>
    </w:p>
    <w:p>
      <w:pPr>
        <w:numPr>
          <w:ilvl w:val="0"/>
          <w:numId w:val="1"/>
        </w:numPr>
        <w:ind w:left="0"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Инструкция</w:t>
      </w:r>
      <w:r>
        <w:rPr>
          <w:rFonts w:ascii="Tinos" w:hAnsi="Tinos" w:eastAsia="Tinos" w:cs="Tinos"/>
          <w:sz w:val="28"/>
          <w:szCs w:val="28"/>
          <w:highlight w:val="none"/>
        </w:rPr>
        <w:t xml:space="preserve"> </w:t>
      </w:r>
      <w:r>
        <w:rPr>
          <w:rFonts w:ascii="Tinos" w:hAnsi="Tinos" w:eastAsia="Tinos" w:cs="Tinos"/>
          <w:sz w:val="28"/>
          <w:szCs w:val="28"/>
          <w:highlight w:val="none"/>
        </w:rPr>
        <w:t xml:space="preserve">для</w:t>
      </w:r>
      <w:r>
        <w:rPr>
          <w:rFonts w:ascii="Tinos" w:hAnsi="Tinos" w:eastAsia="Tinos" w:cs="Tinos"/>
          <w:sz w:val="28"/>
          <w:szCs w:val="28"/>
          <w:highlight w:val="none"/>
        </w:rPr>
        <w:t xml:space="preserve"> </w:t>
      </w:r>
      <w:r>
        <w:rPr>
          <w:rFonts w:ascii="Tinos" w:hAnsi="Tinos" w:eastAsia="Tinos" w:cs="Tinos"/>
          <w:sz w:val="28"/>
          <w:szCs w:val="28"/>
          <w:highlight w:val="none"/>
        </w:rPr>
        <w:t xml:space="preserve">руководителя</w:t>
      </w:r>
      <w:r>
        <w:rPr>
          <w:rFonts w:ascii="Tinos" w:hAnsi="Tinos" w:eastAsia="Tinos" w:cs="Tinos"/>
          <w:sz w:val="28"/>
          <w:szCs w:val="28"/>
          <w:highlight w:val="none"/>
        </w:rPr>
        <w:t xml:space="preserve"> ППЭ</w:t>
      </w:r>
      <w:r>
        <w:rPr>
          <w:rStyle w:val="1000"/>
          <w:rFonts w:ascii="Tinos" w:hAnsi="Tinos" w:eastAsia="Tinos" w:cs="Tinos"/>
          <w:sz w:val="28"/>
          <w:szCs w:val="28"/>
          <w:highlight w:val="none"/>
        </w:rPr>
        <w:footnoteReference w:id="5"/>
      </w:r>
      <w:r>
        <w:rPr>
          <w:rFonts w:ascii="Tinos" w:hAnsi="Tinos" w:eastAsia="Tinos" w:cs="Tinos"/>
          <w:sz w:val="28"/>
          <w:szCs w:val="28"/>
          <w:highlight w:val="none"/>
        </w:rPr>
        <w:t xml:space="preserve"> </w:t>
      </w:r>
      <w:r>
        <w:rPr>
          <w:rFonts w:ascii="Tinos" w:hAnsi="Tinos" w:cs="Tinos"/>
          <w:sz w:val="28"/>
          <w:szCs w:val="28"/>
          <w:highlight w:val="none"/>
        </w:rPr>
      </w:r>
      <w:r>
        <w:rPr>
          <w:rFonts w:ascii="Tinos" w:hAnsi="Tinos" w:cs="Tinos"/>
          <w:sz w:val="28"/>
          <w:szCs w:val="28"/>
          <w:highlight w:val="none"/>
        </w:rPr>
      </w:r>
    </w:p>
    <w:p>
      <w:pPr>
        <w:ind w:firstLine="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Подготовка к проведению ЕГЭ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tabs>
          <w:tab w:val="left" w:pos="1560" w:leader="none"/>
        </w:tabs>
        <w:rPr>
          <w:highlight w:val="none"/>
        </w:rPr>
      </w:pPr>
      <w:r>
        <w:rPr>
          <w:rFonts w:ascii="Tinos" w:hAnsi="Tinos" w:eastAsia="Tinos" w:cs="Tinos"/>
          <w:sz w:val="28"/>
          <w:szCs w:val="28"/>
          <w:highlight w:val="none"/>
          <w:lang w:val="ru-RU"/>
        </w:rPr>
        <w:t xml:space="preserve">Руководитель ППЭ совместно с руководителем образовательной организации, на базе которой расположен ППЭ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обеспечивают</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готовность ППЭ к</w:t>
      </w:r>
      <w:r>
        <w:rPr>
          <w:rFonts w:ascii="Tinos" w:hAnsi="Tinos" w:eastAsia="Tinos" w:cs="Tinos"/>
          <w:sz w:val="28"/>
          <w:szCs w:val="28"/>
          <w:highlight w:val="none"/>
          <w:lang w:val="ru-RU"/>
        </w:rPr>
        <w:t xml:space="preserve"> проведению КЕГЭ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соответствии с требованиями к ППЭ</w:t>
      </w:r>
      <w:r>
        <w:rPr>
          <w:rFonts w:ascii="Tinos" w:hAnsi="Tinos" w:eastAsia="Tinos" w:cs="Tinos"/>
          <w:sz w:val="28"/>
          <w:szCs w:val="28"/>
          <w:highlight w:val="none"/>
          <w:lang w:val="ru-RU"/>
        </w:rPr>
        <w:t xml:space="preserve">, изложенными в Положении </w:t>
      </w:r>
      <w:r>
        <w:rPr>
          <w:rFonts w:ascii="Tinos" w:hAnsi="Tinos" w:eastAsia="Tinos" w:cs="Tinos"/>
          <w:bCs/>
          <w:sz w:val="28"/>
          <w:szCs w:val="28"/>
          <w:highlight w:val="none"/>
          <w:lang w:val="ru-RU"/>
        </w:rPr>
        <w:t xml:space="preserve">о пункте проведения экзаменов </w:t>
      </w:r>
      <w:r>
        <w:rPr>
          <w:rFonts w:ascii="Tinos" w:hAnsi="Tinos" w:eastAsia="Tinos" w:cs="Tinos"/>
          <w:bCs/>
          <w:sz w:val="28"/>
          <w:szCs w:val="28"/>
          <w:highlight w:val="none"/>
          <w:lang w:val="ru-RU"/>
        </w:rPr>
        <w:t xml:space="preserve">при проведении государственной итоговой аттестации по образовательным программам среднего общего образования на территории Вологодской области, утвержденным настоящим приказом</w:t>
      </w:r>
      <w:r>
        <w:rPr>
          <w:rFonts w:ascii="Tinos" w:hAnsi="Tinos" w:eastAsia="Tinos" w:cs="Tinos"/>
          <w:sz w:val="28"/>
          <w:szCs w:val="28"/>
          <w:highlight w:val="none"/>
          <w:lang w:val="ru-RU"/>
        </w:rPr>
        <w:t xml:space="preserve">, в том числе в части технического оснащения ППЭ и хранения основного и резервного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для</w:t>
      </w:r>
      <w:r>
        <w:rPr>
          <w:rFonts w:ascii="Tinos" w:hAnsi="Tinos" w:eastAsia="Tinos" w:cs="Tinos"/>
          <w:sz w:val="28"/>
          <w:szCs w:val="28"/>
          <w:highlight w:val="none"/>
          <w:lang w:val="ru-RU"/>
        </w:rPr>
        <w:t xml:space="preserve"> хранения </w:t>
      </w:r>
      <w:r>
        <w:rPr>
          <w:rFonts w:ascii="Tinos" w:hAnsi="Tinos" w:eastAsia="Tinos" w:cs="Tinos"/>
          <w:sz w:val="28"/>
          <w:szCs w:val="28"/>
          <w:highlight w:val="none"/>
          <w:lang w:val="ru-RU"/>
        </w:rPr>
        <w:t xml:space="preserve">интернет-пакетов</w:t>
      </w:r>
      <w:r>
        <w:rPr>
          <w:rFonts w:ascii="Tinos" w:hAnsi="Tinos" w:eastAsia="Tinos" w:cs="Tinos"/>
          <w:sz w:val="28"/>
          <w:szCs w:val="28"/>
          <w:highlight w:val="none"/>
          <w:lang w:val="ru-RU"/>
        </w:rPr>
        <w:t xml:space="preserve"> в сейфе Штаба ППЭ с осуществлением мер информационной безопасности. </w:t>
      </w:r>
      <w:r>
        <w:rPr>
          <w:rFonts w:ascii="Tinos" w:hAnsi="Tinos" w:eastAsia="Tinos" w:cs="Tinos"/>
          <w:sz w:val="28"/>
          <w:szCs w:val="28"/>
          <w:highlight w:val="none"/>
          <w:lang w:val="ru-RU"/>
        </w:rPr>
      </w:r>
      <w:r>
        <w:rPr>
          <w:highlight w:val="none"/>
        </w:rPr>
      </w:r>
    </w:p>
    <w:p>
      <w:pPr>
        <w:pStyle w:val="1003"/>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Также необходимо подготовить не менее 1 </w:t>
      </w:r>
      <w:r>
        <w:rPr>
          <w:rFonts w:ascii="Tinos" w:hAnsi="Tinos" w:eastAsia="Tinos" w:cs="Tinos"/>
          <w:sz w:val="28"/>
          <w:szCs w:val="28"/>
          <w:highlight w:val="none"/>
          <w:lang w:val="ru-RU"/>
        </w:rPr>
        <w:t xml:space="preserve">флеш-накопителя</w:t>
      </w:r>
      <w:r>
        <w:rPr>
          <w:rFonts w:ascii="Tinos" w:hAnsi="Tinos" w:eastAsia="Tinos" w:cs="Tinos"/>
          <w:sz w:val="28"/>
          <w:szCs w:val="28"/>
          <w:highlight w:val="none"/>
          <w:lang w:val="ru-RU"/>
        </w:rPr>
        <w:t xml:space="preserve"> для переноса данных между станциями в ППЭ (рекомендуемое количество – по числу технических специалистов ППЭ и не менее одного резервного).</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обязан контролировать своевременность загрузки ЭМ для экзаменов, проводимых в </w:t>
      </w:r>
      <w:r>
        <w:rPr>
          <w:rFonts w:ascii="Tinos" w:hAnsi="Tinos" w:eastAsia="Tinos" w:cs="Tinos"/>
          <w:sz w:val="28"/>
          <w:szCs w:val="28"/>
          <w:highlight w:val="none"/>
          <w:lang w:val="ru-RU"/>
        </w:rPr>
        <w:t xml:space="preserve">данном</w:t>
      </w:r>
      <w:r>
        <w:rPr>
          <w:rFonts w:ascii="Tinos" w:hAnsi="Tinos" w:eastAsia="Tinos" w:cs="Tinos"/>
          <w:sz w:val="28"/>
          <w:szCs w:val="28"/>
          <w:highlight w:val="none"/>
          <w:lang w:val="ru-RU"/>
        </w:rPr>
        <w:t xml:space="preserve"> ППЭ. В случае выявления проблем с загрузкой ЭМ необходимо принимать меры для устранения этих проблем. </w:t>
      </w:r>
      <w:r>
        <w:rPr>
          <w:rFonts w:ascii="Tinos" w:hAnsi="Tinos" w:eastAsia="Tinos" w:cs="Tinos"/>
          <w:sz w:val="28"/>
          <w:szCs w:val="28"/>
          <w:highlight w:val="none"/>
          <w:lang w:val="ru-RU"/>
        </w:rPr>
        <w:t xml:space="preserve">Интернет-пакеты</w:t>
      </w:r>
      <w:r>
        <w:rPr>
          <w:rFonts w:ascii="Tinos" w:hAnsi="Tinos" w:eastAsia="Tinos" w:cs="Tinos"/>
          <w:sz w:val="28"/>
          <w:szCs w:val="28"/>
          <w:highlight w:val="none"/>
          <w:lang w:val="ru-RU"/>
        </w:rPr>
        <w:t xml:space="preserve"> становятся доступны за 5 рабочих дней до даты экзамена – для основных дней экзаменационного периода, за 3 рабочих дня – для резервных дней экзаменационного периода и формируются на основе сведений о распределённых по ППЭ участниках и аудиторном фонде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2 недели до КЕГЭ руководитель ППЭ совместно с руководителем образовательной организации, на базе которой расположен ППЭ, должен обеспечить техническому специалисту возможность:</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из РЦОИ перечень стандартного ПО, предоставляемого </w:t>
      </w:r>
      <w:r>
        <w:rPr>
          <w:rFonts w:ascii="Tinos" w:hAnsi="Tinos" w:eastAsia="Tinos" w:cs="Tinos"/>
          <w:sz w:val="28"/>
          <w:szCs w:val="28"/>
          <w:highlight w:val="none"/>
          <w:lang w:val="ru-RU"/>
        </w:rPr>
        <w:t xml:space="preserve">участнику экзамена</w:t>
      </w:r>
      <w:r>
        <w:rPr>
          <w:rFonts w:ascii="Tinos" w:hAnsi="Tinos" w:eastAsia="Tinos" w:cs="Tinos"/>
          <w:sz w:val="28"/>
          <w:szCs w:val="28"/>
          <w:highlight w:val="none"/>
          <w:lang w:val="ru-RU"/>
        </w:rPr>
        <w:t xml:space="preserve"> во время экзамена, определенный Министерством образования области, и дистрибутивы этого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соответствие технических характеристик компьютеров (ноутбуков), на которые буд</w:t>
      </w:r>
      <w:r>
        <w:rPr>
          <w:rFonts w:ascii="Tinos" w:hAnsi="Tinos" w:eastAsia="Tinos" w:cs="Tinos"/>
          <w:sz w:val="28"/>
          <w:szCs w:val="28"/>
          <w:highlight w:val="none"/>
          <w:lang w:val="ru-RU"/>
        </w:rPr>
        <w:t xml:space="preserve">е</w:t>
      </w:r>
      <w:r>
        <w:rPr>
          <w:rFonts w:ascii="Tinos" w:hAnsi="Tinos" w:eastAsia="Tinos" w:cs="Tinos"/>
          <w:sz w:val="28"/>
          <w:szCs w:val="28"/>
          <w:highlight w:val="none"/>
          <w:lang w:val="ru-RU"/>
        </w:rPr>
        <w:t xml:space="preserve">т установлен</w:t>
      </w:r>
      <w:r>
        <w:rPr>
          <w:rFonts w:ascii="Tinos" w:hAnsi="Tinos" w:eastAsia="Tinos" w:cs="Tinos"/>
          <w:sz w:val="28"/>
          <w:szCs w:val="28"/>
          <w:highlight w:val="none"/>
          <w:lang w:val="ru-RU"/>
        </w:rPr>
        <w:t xml:space="preserve">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предъявляемым требованиям для установки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а также минимальным требованиям, обеспечивающим стабильную работу версий стандартного ПО, предоставляемого участнику КЕГЭ, включенных в перечень, определенный Министерством образования области;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установить (начать установку) на компьютеры (ноутбуки), предназначенные для использования в качестве станций КЕГЭ, стандартное ПО, предоставляемое участнику экзамена во время экзамена в соответствии с перечнем, полученным из РЦОИ.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один календарный день до проведения экзамена</w:t>
      </w:r>
      <w:r>
        <w:rPr>
          <w:rFonts w:ascii="Tinos" w:hAnsi="Tinos" w:eastAsia="Tinos" w:cs="Tinos"/>
          <w:b/>
          <w:sz w:val="28"/>
          <w:szCs w:val="28"/>
          <w:highlight w:val="none"/>
          <w:lang w:val="ru-RU"/>
        </w:rPr>
        <w:t xml:space="preserve"> </w:t>
      </w:r>
      <w:r>
        <w:rPr>
          <w:rFonts w:ascii="Tinos" w:hAnsi="Tinos" w:eastAsia="Tinos" w:cs="Tinos"/>
          <w:sz w:val="28"/>
          <w:szCs w:val="28"/>
          <w:highlight w:val="none"/>
          <w:lang w:val="ru-RU"/>
        </w:rPr>
        <w:t xml:space="preserve">руководитель ППЭ и руководитель образовательной организации, на базе которой расположен ППЭ, обязаны обеспечить и проверить наличие:</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аудиторий, необходимых для проведения КЕГЭ, в том числе аудиторий, необходимых для проведения КЕГЭ для участников экзамена с ОВЗ, участников экзамена – детей-инвалидов и инвали</w:t>
      </w:r>
      <w:r>
        <w:rPr>
          <w:rFonts w:ascii="Tinos" w:hAnsi="Tinos" w:eastAsia="Tinos" w:cs="Tinos"/>
          <w:sz w:val="28"/>
          <w:szCs w:val="28"/>
          <w:highlight w:val="none"/>
          <w:lang w:val="ru-RU"/>
        </w:rPr>
        <w:t xml:space="preserve">дов</w:t>
      </w:r>
      <w:r>
        <w:rPr>
          <w:rStyle w:val="1000"/>
          <w:rFonts w:ascii="Tinos" w:hAnsi="Tinos" w:eastAsia="Tinos" w:cs="Tinos"/>
          <w:sz w:val="28"/>
          <w:szCs w:val="28"/>
          <w:highlight w:val="none"/>
          <w:lang w:val="ru-RU"/>
        </w:rPr>
        <w:footnoteReference w:id="6"/>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аппаратно-программного комплекса для печати ЭМ, автоматизированных рабочих мест участников экзамена, расположенных в зоне видимости камер в каждой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параметры электрических сетей организации, на базе которой расположен ППЭ, позволяют одновременно обеспечить электропитание для планируемого количества компьютеров (ноутбуков) с установленным ПО</w:t>
      </w:r>
      <w:r>
        <w:rPr>
          <w:rFonts w:ascii="Tinos" w:hAnsi="Tinos" w:eastAsia="Tinos" w:cs="Tinos"/>
          <w:sz w:val="28"/>
          <w:szCs w:val="28"/>
          <w:highlight w:val="none"/>
          <w:lang w:val="ru-RU"/>
        </w:rPr>
        <w:t xml:space="preserve"> «Станция КЕГЭ», станциями организатора, подключённых к ним принтеров и сканеров, и техники, расположенной в Штабе ППЭ (необходимо учитывать также дополнительные потребители электроэнергии – осветительные приборы, системы охлаждения воздуха (при наличии), </w:t>
      </w:r>
      <w:r>
        <w:rPr>
          <w:rFonts w:ascii="Tinos" w:hAnsi="Tinos" w:eastAsia="Tinos" w:cs="Tinos"/>
          <w:sz w:val="28"/>
          <w:szCs w:val="28"/>
          <w:highlight w:val="none"/>
          <w:lang w:val="ru-RU"/>
        </w:rPr>
        <w:t xml:space="preserve">рециркуляторы</w:t>
      </w:r>
      <w:r>
        <w:rPr>
          <w:rFonts w:ascii="Tinos" w:hAnsi="Tinos" w:eastAsia="Tinos" w:cs="Tinos"/>
          <w:sz w:val="28"/>
          <w:szCs w:val="28"/>
          <w:highlight w:val="none"/>
          <w:lang w:val="ru-RU"/>
        </w:rPr>
        <w:t xml:space="preserve"> и прочее).</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один календарный день до начала проведения экзамена также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черновики КЕГЭ (на каждого участника экзамена): обеспечить наличие штампа организации, на базе которой </w:t>
      </w:r>
      <w:r>
        <w:rPr>
          <w:rFonts w:ascii="Tinos" w:hAnsi="Tinos" w:eastAsia="Tinos" w:cs="Tinos"/>
          <w:sz w:val="28"/>
          <w:szCs w:val="28"/>
          <w:highlight w:val="none"/>
          <w:lang w:val="ru-RU"/>
        </w:rPr>
        <w:t xml:space="preserve">расположен</w:t>
      </w:r>
      <w:r>
        <w:rPr>
          <w:rFonts w:ascii="Tinos" w:hAnsi="Tinos" w:eastAsia="Tinos" w:cs="Tinos"/>
          <w:sz w:val="28"/>
          <w:szCs w:val="28"/>
          <w:highlight w:val="none"/>
          <w:lang w:val="ru-RU"/>
        </w:rPr>
        <w:t xml:space="preserve"> ППЭ, на каждой странице черновика КЕГЭ;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черновики;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технического специалиста и подготовить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КЕГЭ;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достаточное количество бумаги для печати бланков регистрации в аудиториях;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конверты для упаковки использованных черновиков (по одному конверту на аудиторию, все черновики упаковываются вместе – и черновики КЕГЭ, и стандартные испол</w:t>
      </w:r>
      <w:r>
        <w:rPr>
          <w:rFonts w:ascii="Tinos" w:hAnsi="Tinos" w:eastAsia="Tinos" w:cs="Tinos"/>
          <w:sz w:val="28"/>
          <w:szCs w:val="28"/>
          <w:highlight w:val="none"/>
          <w:lang w:val="ru-RU"/>
        </w:rPr>
        <w:t xml:space="preserve">ьзованные черновики).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w:t>
      </w:r>
      <w:r>
        <w:rPr>
          <w:rFonts w:ascii="Tinos" w:hAnsi="Tinos" w:eastAsia="Tinos" w:cs="Tinos"/>
          <w:sz w:val="28"/>
          <w:szCs w:val="28"/>
          <w:highlight w:val="none"/>
          <w:lang w:val="ru-RU"/>
        </w:rPr>
        <w:t xml:space="preserve">е ранее чем за 5 календарных дней и не позднее 16 часов 00 минут календарного дня, предшествующего дню экзамена, и до проведения контроля технической готовности обеспечить возможность техническому специалисту провести техническую подготовку ППЭ к экзамену.</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ранее чем за 2 рабочих дня и не позднее 16 часов 00 минут календарного дня, предшествующего дню экзамена, совместно с членом ГЭК и техническим специалистом провести контроль технической готовности ППЭ, в том числе:</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технического специалиста калибровочные листы (тестовые страницы границ печати) станции организатора и подготовить их для </w:t>
      </w:r>
      <w:r>
        <w:rPr>
          <w:rFonts w:ascii="Tinos" w:hAnsi="Tinos" w:eastAsia="Tinos" w:cs="Tinos"/>
          <w:sz w:val="28"/>
          <w:szCs w:val="28"/>
          <w:highlight w:val="none"/>
          <w:lang w:val="ru-RU"/>
        </w:rPr>
        <w:t xml:space="preserve">поаудиторной</w:t>
      </w:r>
      <w:r>
        <w:rPr>
          <w:rFonts w:ascii="Tinos" w:hAnsi="Tinos" w:eastAsia="Tinos" w:cs="Tinos"/>
          <w:sz w:val="28"/>
          <w:szCs w:val="28"/>
          <w:highlight w:val="none"/>
          <w:lang w:val="ru-RU"/>
        </w:rPr>
        <w:t xml:space="preserve"> выдачи организаторам;</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технического специалиста коды активации станций КЕГЭ (кроме резервных станций КЕГЭ) для передачи организаторам в аудитории (один код для каждой аудитории) и подготовить их для </w:t>
      </w:r>
      <w:r>
        <w:rPr>
          <w:rFonts w:ascii="Tinos" w:hAnsi="Tinos" w:eastAsia="Tinos" w:cs="Tinos"/>
          <w:sz w:val="28"/>
          <w:szCs w:val="28"/>
          <w:highlight w:val="none"/>
          <w:lang w:val="ru-RU"/>
        </w:rPr>
        <w:t xml:space="preserve">поаудиторной</w:t>
      </w:r>
      <w:r>
        <w:rPr>
          <w:rFonts w:ascii="Tinos" w:hAnsi="Tinos" w:eastAsia="Tinos" w:cs="Tinos"/>
          <w:sz w:val="28"/>
          <w:szCs w:val="28"/>
          <w:highlight w:val="none"/>
          <w:lang w:val="ru-RU"/>
        </w:rPr>
        <w:t xml:space="preserve"> выдачи организаторам;</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от технического специалиста 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(для каждой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включая резервные) и подготовить их для </w:t>
      </w:r>
      <w:r>
        <w:rPr>
          <w:rFonts w:ascii="Tinos" w:hAnsi="Tinos" w:eastAsia="Tinos" w:cs="Tinos"/>
          <w:sz w:val="28"/>
          <w:szCs w:val="28"/>
          <w:highlight w:val="none"/>
          <w:lang w:val="ru-RU"/>
        </w:rPr>
        <w:t xml:space="preserve">поаудиторной</w:t>
      </w:r>
      <w:r>
        <w:rPr>
          <w:rFonts w:ascii="Tinos" w:hAnsi="Tinos" w:eastAsia="Tinos" w:cs="Tinos"/>
          <w:sz w:val="28"/>
          <w:szCs w:val="28"/>
          <w:highlight w:val="none"/>
          <w:lang w:val="ru-RU"/>
        </w:rPr>
        <w:t xml:space="preserve"> выдачи организаторам;</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проконтролировать передачу в систему мониторинга готовности ППЭ в личном кабинете ППЭ электронных актов технической готовности со всех основных и резервных станций КЕГЭ, станций организатора, станций </w:t>
      </w:r>
      <w:r>
        <w:rPr>
          <w:rFonts w:ascii="Tinos" w:hAnsi="Tinos" w:eastAsia="Tinos" w:cs="Tinos"/>
          <w:sz w:val="28"/>
          <w:szCs w:val="28"/>
          <w:highlight w:val="none"/>
          <w:lang w:val="ru-RU"/>
        </w:rPr>
        <w:t xml:space="preserve">Штаба</w:t>
      </w:r>
      <w:r>
        <w:rPr>
          <w:rFonts w:ascii="Tinos" w:hAnsi="Tinos" w:eastAsia="Tinos" w:cs="Tinos"/>
          <w:sz w:val="28"/>
          <w:szCs w:val="28"/>
          <w:highlight w:val="none"/>
          <w:lang w:val="ru-RU"/>
        </w:rPr>
        <w:t xml:space="preserve"> ППЭ; </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проконтролировать передачу в систему мониторинга готовности ППЭ статуса «Контроль технической готовности завершен».</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w:t>
      </w:r>
      <w:r>
        <w:rPr>
          <w:rFonts w:ascii="Tinos" w:hAnsi="Tinos" w:eastAsia="Tinos" w:cs="Tinos"/>
          <w:sz w:val="28"/>
          <w:szCs w:val="28"/>
          <w:highlight w:val="none"/>
          <w:lang w:val="ru-RU"/>
        </w:rPr>
        <w:t xml:space="preserve">Акты основных станций могут быть переданы только при условии наличия на специализированном федеральном портале</w:t>
      </w:r>
      <w:r>
        <w:rPr>
          <w:rFonts w:ascii="Tinos" w:hAnsi="Tinos" w:eastAsia="Tinos" w:cs="Tinos"/>
          <w:sz w:val="28"/>
          <w:szCs w:val="28"/>
          <w:highlight w:val="none"/>
          <w:lang w:val="ru-RU"/>
        </w:rPr>
        <w:t xml:space="preserve"> сведений о рассадке. Статус «Контроль технической готовности завершён» может быть передан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станций ор</w:t>
      </w:r>
      <w:r>
        <w:rPr>
          <w:rFonts w:ascii="Tinos" w:hAnsi="Tinos" w:eastAsia="Tinos" w:cs="Tinos"/>
          <w:sz w:val="28"/>
          <w:szCs w:val="28"/>
          <w:highlight w:val="none"/>
          <w:lang w:val="ru-RU"/>
        </w:rPr>
        <w:t xml:space="preserve">ганизатора для каждой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и подписать форму ППЭ-01-01-К</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Указанный протокол удостоверяется подписями технического специалиста, руководителя ППЭ и членов ГЭК.</w:t>
      </w:r>
      <w:r>
        <w:rPr>
          <w:rFonts w:ascii="Tinos" w:hAnsi="Tinos" w:cs="Tinos"/>
          <w:sz w:val="28"/>
          <w:szCs w:val="28"/>
          <w:highlight w:val="none"/>
        </w:rPr>
      </w:r>
      <w:r>
        <w:rPr>
          <w:rFonts w:ascii="Tinos" w:hAnsi="Tinos" w:cs="Tinos"/>
          <w:sz w:val="28"/>
          <w:szCs w:val="28"/>
          <w:highlight w:val="none"/>
        </w:rPr>
      </w:r>
    </w:p>
    <w:p>
      <w:pPr>
        <w:pStyle w:val="1003"/>
        <w:numPr>
          <w:ilvl w:val="0"/>
          <w:numId w:val="10"/>
        </w:numPr>
        <w:ind w:left="0" w:right="-1"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з</w:t>
      </w:r>
      <w:r>
        <w:rPr>
          <w:rFonts w:ascii="Tinos" w:hAnsi="Tinos" w:eastAsia="Tinos" w:cs="Tinos"/>
          <w:sz w:val="28"/>
          <w:szCs w:val="28"/>
          <w:highlight w:val="none"/>
          <w:lang w:val="ru-RU"/>
        </w:rPr>
        <w:t xml:space="preserve">аполнить форму ППЭ-01 совместно с руководителем образовательной организации,</w:t>
      </w:r>
      <w:r>
        <w:rPr>
          <w:rFonts w:ascii="Tinos" w:hAnsi="Tinos" w:eastAsia="Tinos" w:cs="Tinos"/>
          <w:sz w:val="28"/>
          <w:szCs w:val="28"/>
          <w:highlight w:val="none"/>
          <w:lang w:val="ru-RU"/>
        </w:rPr>
        <w:t xml:space="preserve"> на базе которой </w:t>
      </w:r>
      <w:r>
        <w:rPr>
          <w:rFonts w:ascii="Tinos" w:hAnsi="Tinos" w:eastAsia="Tinos" w:cs="Tinos"/>
          <w:sz w:val="28"/>
          <w:szCs w:val="28"/>
          <w:highlight w:val="none"/>
          <w:lang w:val="ru-RU"/>
        </w:rPr>
        <w:t xml:space="preserve">расположен</w:t>
      </w:r>
      <w:r>
        <w:rPr>
          <w:rFonts w:ascii="Tinos" w:hAnsi="Tinos" w:eastAsia="Tinos" w:cs="Tinos"/>
          <w:sz w:val="28"/>
          <w:szCs w:val="28"/>
          <w:highlight w:val="none"/>
          <w:lang w:val="ru-RU"/>
        </w:rPr>
        <w:t xml:space="preserve">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должен назначить одного из технических </w:t>
      </w:r>
      <w:r>
        <w:rPr>
          <w:rFonts w:ascii="Tinos" w:hAnsi="Tinos" w:eastAsia="Tinos" w:cs="Tinos"/>
          <w:sz w:val="28"/>
          <w:szCs w:val="28"/>
          <w:highlight w:val="none"/>
          <w:lang w:val="ru-RU"/>
        </w:rPr>
        <w:t xml:space="preserve">специалистов (в случае наличия в ППЭ нескольких технических специалистов) </w:t>
      </w:r>
      <w:r>
        <w:rPr>
          <w:rFonts w:ascii="Tinos" w:hAnsi="Tinos" w:eastAsia="Tinos" w:cs="Tinos"/>
          <w:sz w:val="28"/>
          <w:szCs w:val="28"/>
          <w:highlight w:val="none"/>
          <w:lang w:val="ru-RU"/>
        </w:rPr>
        <w:t xml:space="preserve">ответственным</w:t>
      </w:r>
      <w:r>
        <w:rPr>
          <w:rFonts w:ascii="Tinos" w:hAnsi="Tinos" w:eastAsia="Tinos" w:cs="Tinos"/>
          <w:sz w:val="28"/>
          <w:szCs w:val="28"/>
          <w:highlight w:val="none"/>
          <w:lang w:val="ru-RU"/>
        </w:rPr>
        <w:t xml:space="preserve"> за включение видеонаблюдения в день проведения экзамена.</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Проведение</w:t>
      </w:r>
      <w:r>
        <w:rPr>
          <w:rFonts w:ascii="Tinos" w:hAnsi="Tinos" w:eastAsia="Tinos" w:cs="Tinos"/>
          <w:sz w:val="28"/>
          <w:szCs w:val="28"/>
          <w:highlight w:val="none"/>
        </w:rPr>
        <w:t xml:space="preserve"> ЕГЭ в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 начала экзамена руководитель ППЭ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позднее 07 часов 30 минут:</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дать распоряжение техническим специалистам, отвечающим за организацию видеонаблюдения в ППЭ, о начале видеонаблюдения в Штабе ППЭ до получения мат</w:t>
      </w:r>
      <w:r>
        <w:rPr>
          <w:rFonts w:ascii="Tinos" w:hAnsi="Tinos" w:eastAsia="Tinos" w:cs="Tinos"/>
          <w:sz w:val="28"/>
          <w:szCs w:val="28"/>
          <w:highlight w:val="none"/>
          <w:lang w:val="ru-RU"/>
        </w:rPr>
        <w:t xml:space="preserve">ериалов для проведения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eastAsia="ru-RU"/>
        </w:rPr>
        <w:t xml:space="preserve">дать поручение техническому специалисту получить и распечатать в присутствии члена ГЭК пакет руководителя ППЭ – в случае использования электронной версии пакета руководителя ППЭ.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ППЭ должны быть выданы конверты в количестве, равном числу аудиторий, умноженному на 2: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конверты для упаковки бланков регистрации в аудитории;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конвреты</w:t>
      </w:r>
      <w:r>
        <w:rPr>
          <w:rFonts w:ascii="Tinos" w:hAnsi="Tinos" w:eastAsia="Tinos" w:cs="Tinos"/>
          <w:sz w:val="28"/>
          <w:szCs w:val="28"/>
          <w:highlight w:val="none"/>
          <w:lang w:val="ru-RU"/>
        </w:rPr>
        <w:t xml:space="preserve"> для упаковки испорченных и бракованных бланков регистрации.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случай возникновения нештатных ситуаций, в результате которых </w:t>
      </w:r>
      <w:r>
        <w:rPr>
          <w:rFonts w:ascii="Tinos" w:hAnsi="Tinos" w:eastAsia="Tinos" w:cs="Tinos"/>
          <w:sz w:val="28"/>
          <w:szCs w:val="28"/>
          <w:highlight w:val="none"/>
          <w:lang w:val="ru-RU"/>
        </w:rPr>
        <w:t xml:space="preserve">сканирование бланков регистрации будет производиться в Штабе ППЭ, необходимо иметь некоторый резерв конвертов для переупаковки бланков регистрации после вскрытия конверта, доставленного из аудитории, и процедуры сканирования</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позднее 08 часов 00 минут:</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 дать распоряжение техническим специалистам, отвечающим за </w:t>
      </w:r>
      <w:r>
        <w:rPr>
          <w:rFonts w:ascii="Tinos" w:hAnsi="Tinos" w:eastAsia="Tinos" w:cs="Tinos"/>
          <w:sz w:val="28"/>
          <w:szCs w:val="28"/>
          <w:highlight w:val="none"/>
          <w:lang w:val="ru-RU"/>
        </w:rPr>
        <w:t xml:space="preserve">организацию видеонаблюдения в ППЭ, о начале в</w:t>
      </w:r>
      <w:r>
        <w:rPr>
          <w:rFonts w:ascii="Tinos" w:hAnsi="Tinos" w:eastAsia="Tinos" w:cs="Tinos"/>
          <w:sz w:val="28"/>
          <w:szCs w:val="28"/>
          <w:highlight w:val="none"/>
          <w:lang w:val="ru-RU"/>
        </w:rPr>
        <w:t xml:space="preserve">идеонаблюдения в аудиториях ППЭ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готовн</w:t>
      </w:r>
      <w:r>
        <w:rPr>
          <w:rFonts w:ascii="Tinos" w:hAnsi="Tinos" w:eastAsia="Tinos" w:cs="Tinos"/>
          <w:sz w:val="28"/>
          <w:szCs w:val="28"/>
          <w:highlight w:val="none"/>
          <w:lang w:val="ru-RU"/>
        </w:rPr>
        <w:t xml:space="preserve">ость аудиторий к проведению 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ранее 8 часов 15 минут</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начать проведение инструктажа по процедуре проведения экзамена для работников </w:t>
      </w:r>
      <w:r>
        <w:rPr>
          <w:rFonts w:ascii="Tinos" w:hAnsi="Tinos" w:eastAsia="Tinos" w:cs="Tinos"/>
          <w:sz w:val="28"/>
          <w:szCs w:val="28"/>
          <w:highlight w:val="none"/>
          <w:lang w:val="ru-RU"/>
        </w:rPr>
        <w:t xml:space="preserve">ППЭ (содержание инструктажа представлено в пункте </w:t>
      </w:r>
      <w:r>
        <w:rPr>
          <w:rFonts w:ascii="Tinos" w:hAnsi="Tinos" w:eastAsia="Tinos" w:cs="Tinos"/>
          <w:sz w:val="28"/>
          <w:szCs w:val="28"/>
          <w:highlight w:val="none"/>
          <w:lang w:val="ru-RU"/>
        </w:rPr>
        <w:t xml:space="preserve">3</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приложения 9 к настоящему приказу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выдать ответственному организатору вне аудитории формы ППЭ-06-01 </w:t>
      </w:r>
      <w:r>
        <w:rPr>
          <w:rFonts w:ascii="Tinos" w:hAnsi="Tinos" w:eastAsia="Tinos" w:cs="Tinos"/>
          <w:sz w:val="28"/>
          <w:szCs w:val="28"/>
          <w:highlight w:val="none"/>
          <w:lang w:val="ru-RU" w:eastAsia="ru-RU"/>
        </w:rPr>
        <w:t xml:space="preserve">и ППЭ-06-02 </w:t>
      </w:r>
      <w:r>
        <w:rPr>
          <w:rFonts w:ascii="Tinos" w:hAnsi="Tinos" w:eastAsia="Tinos" w:cs="Tinos"/>
          <w:sz w:val="28"/>
          <w:szCs w:val="28"/>
          <w:highlight w:val="none"/>
          <w:lang w:val="ru-RU"/>
        </w:rPr>
        <w:t xml:space="preserve">для размещения на информационном стенде при входе в ППЭ;</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назначить ответственного организатора в каждой аудитории и направить организаторов всех категорий на рабочие места в соответствии с формой ППЭ-07;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выдать ответственным организаторам в аудитории: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формы: </w:t>
      </w:r>
      <w:r>
        <w:rPr>
          <w:rFonts w:ascii="Tinos" w:hAnsi="Tinos" w:eastAsia="Tinos" w:cs="Tinos"/>
          <w:sz w:val="28"/>
          <w:szCs w:val="28"/>
          <w:highlight w:val="none"/>
          <w:lang w:val="ru-RU"/>
        </w:rPr>
        <w:t xml:space="preserve">ППЭ-05-01, ППЭ-05-02-К, ППЭ-12-02, ППЭ-12-04-МАШ, </w:t>
      </w:r>
      <w:r>
        <w:rPr>
          <w:rFonts w:ascii="Tinos" w:hAnsi="Tinos" w:eastAsia="Tinos" w:cs="Tinos"/>
          <w:sz w:val="28"/>
          <w:szCs w:val="28"/>
          <w:highlight w:val="none"/>
          <w:lang w:val="ru-RU"/>
        </w:rPr>
        <w:t xml:space="preserve">ППЭ-16;</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инструкцию для участников экзамена, зачитываемую </w:t>
      </w:r>
      <w:r>
        <w:rPr>
          <w:rFonts w:ascii="Tinos" w:hAnsi="Tinos" w:eastAsia="Tinos" w:cs="Tinos"/>
          <w:sz w:val="28"/>
          <w:szCs w:val="28"/>
          <w:highlight w:val="none"/>
          <w:lang w:val="ru-RU"/>
        </w:rPr>
        <w:t xml:space="preserve">организатором в аудитории перед началом экзамена (одна инструкция на аудиторию) (</w:t>
      </w:r>
      <w:r>
        <w:rPr>
          <w:rFonts w:ascii="Tinos" w:hAnsi="Tinos" w:eastAsia="Tinos" w:cs="Tinos"/>
          <w:sz w:val="28"/>
          <w:szCs w:val="28"/>
          <w:highlight w:val="none"/>
          <w:lang w:val="ru-RU"/>
        </w:rPr>
        <w:t xml:space="preserve">приложени</w:t>
      </w:r>
      <w:r>
        <w:rPr>
          <w:rFonts w:ascii="Tinos" w:hAnsi="Tinos" w:eastAsia="Tinos" w:cs="Tinos"/>
          <w:sz w:val="28"/>
          <w:szCs w:val="28"/>
          <w:highlight w:val="none"/>
          <w:lang w:val="ru-RU"/>
        </w:rPr>
        <w:t xml:space="preserve">е</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11</w:t>
      </w:r>
      <w:r>
        <w:rPr>
          <w:rFonts w:ascii="Tinos" w:hAnsi="Tinos" w:eastAsia="Tinos" w:cs="Tinos"/>
          <w:sz w:val="28"/>
          <w:szCs w:val="28"/>
          <w:highlight w:val="none"/>
          <w:lang w:val="ru-RU"/>
        </w:rPr>
        <w:t xml:space="preserve"> к настоящему приказу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таблички с номерами аудиторий;</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напечатанную тестовую страницу границ печати (калибровочный лист) станции организатора соответствующей аудитории;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(на каждую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ю</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подготовленную для проведения экзамена в аудитории);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код активации экзамена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(код активации экзамена одинаковый для всех станций КЕГЭ в одной аудитории);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конверт для упаковки использованных черновиков (один конверт на аудиторию);</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2 </w:t>
      </w:r>
      <w:r>
        <w:rPr>
          <w:rFonts w:ascii="Tinos" w:hAnsi="Tinos" w:eastAsia="Tinos" w:cs="Tinos"/>
          <w:sz w:val="28"/>
          <w:szCs w:val="28"/>
          <w:highlight w:val="none"/>
          <w:lang w:val="ru-RU"/>
        </w:rPr>
        <w:t xml:space="preserve">конверта</w:t>
      </w:r>
      <w:r>
        <w:rPr>
          <w:rFonts w:ascii="Tinos" w:hAnsi="Tinos" w:eastAsia="Tinos" w:cs="Tinos"/>
          <w:sz w:val="28"/>
          <w:szCs w:val="28"/>
          <w:highlight w:val="none"/>
          <w:lang w:val="ru-RU"/>
        </w:rPr>
        <w:t xml:space="preserve"> (для упаковки бланков регистрации участников экзамена, для упаковки испорченных и бракованных бланков регистрации).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должен запланировать необходимое количество листов формы ППЭ-12-04-МАШ на аудиторию и продумать схему передачи в аудитории дополнительных листов формы ППЭ-12-04-МАШ (напр</w:t>
      </w:r>
      <w:r>
        <w:rPr>
          <w:rFonts w:ascii="Tinos" w:hAnsi="Tinos" w:eastAsia="Tinos" w:cs="Tinos"/>
          <w:sz w:val="28"/>
          <w:szCs w:val="28"/>
          <w:highlight w:val="none"/>
          <w:lang w:val="ru-RU"/>
        </w:rPr>
        <w:t xml:space="preserve">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на ППЭ определяется в РЦОИ при </w:t>
      </w:r>
      <w:r>
        <w:rPr>
          <w:rFonts w:ascii="Tinos" w:hAnsi="Tinos" w:eastAsia="Tinos" w:cs="Tinos"/>
          <w:sz w:val="28"/>
          <w:szCs w:val="28"/>
          <w:highlight w:val="none"/>
          <w:lang w:val="ru-RU"/>
        </w:rPr>
        <w:t xml:space="preserve">формировании пакета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передать медицинскому работнику инструкцию, определяющую порядок </w:t>
      </w:r>
      <w:r>
        <w:rPr>
          <w:rFonts w:ascii="Tinos" w:hAnsi="Tinos" w:eastAsia="Tinos" w:cs="Tinos"/>
          <w:sz w:val="28"/>
          <w:szCs w:val="28"/>
          <w:highlight w:val="none"/>
          <w:lang w:val="ru-RU"/>
        </w:rPr>
        <w:t xml:space="preserve">его работы во время проведения ЕГЭ в ППЭ, журнал учета участников экзамена, обратившихся к медицинскому работнику.</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ранее 09 часов 00 минут обеспечить допуск: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участников экзамена согласно спискам распределения;</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сопровождающих обучающихся (присутствуют в день экзамена в помещении, которое организуется до входа в ППЭ).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позднее 09 часов 45 минут выдать в Штабе ППЭ ответственным организаторам в аудиториях:</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КЕГЭ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w:t>
      </w:r>
      <w:r>
        <w:rPr>
          <w:rFonts w:ascii="Tinos" w:hAnsi="Tinos" w:eastAsia="Tinos" w:cs="Tinos"/>
          <w:sz w:val="28"/>
          <w:szCs w:val="28"/>
          <w:highlight w:val="none"/>
          <w:lang w:val="ru-RU"/>
        </w:rPr>
        <w:t xml:space="preserve">о! Черновики КЕГЭ выдаются участникам экзамена вместе с бланками регистрации, черновики выдаются только во время экзамена по запросу участников экзамена – в случае если им не хватит места для записей в черновике КЕГЭ (включая оборотные стороны его листов).</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Во время экзамена руководитель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 совместно с членами ГЭК должен осуществлять </w:t>
      </w:r>
      <w:r>
        <w:rPr>
          <w:rFonts w:ascii="Tinos" w:hAnsi="Tinos" w:eastAsia="Tinos" w:cs="Tinos"/>
          <w:sz w:val="28"/>
          <w:szCs w:val="28"/>
          <w:highlight w:val="none"/>
          <w:lang w:val="ru-RU"/>
        </w:rPr>
        <w:t xml:space="preserve">контроль за</w:t>
      </w:r>
      <w:r>
        <w:rPr>
          <w:rFonts w:ascii="Tinos" w:hAnsi="Tinos" w:eastAsia="Tinos" w:cs="Tinos"/>
          <w:sz w:val="28"/>
          <w:szCs w:val="28"/>
          <w:highlight w:val="none"/>
          <w:lang w:val="ru-RU"/>
        </w:rPr>
        <w:t xml:space="preserve"> ходом проведения экзамена, проверять помещения ППЭ на предмет присутств</w:t>
      </w:r>
      <w:r>
        <w:rPr>
          <w:rFonts w:ascii="Tinos" w:hAnsi="Tinos" w:eastAsia="Tinos" w:cs="Tinos"/>
          <w:sz w:val="28"/>
          <w:szCs w:val="28"/>
          <w:highlight w:val="none"/>
          <w:lang w:val="ru-RU"/>
        </w:rPr>
        <w:t xml:space="preserve">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о нарушении установленного порядка проведения ГИА сведений и в оформлении формы заключения комиссии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eastAsia="ru-RU"/>
        </w:rPr>
        <w:t xml:space="preserve">по</w:t>
      </w:r>
      <w:r>
        <w:rPr>
          <w:rFonts w:ascii="Tinos" w:hAnsi="Tinos" w:eastAsia="Tinos" w:cs="Tinos"/>
          <w:sz w:val="28"/>
          <w:szCs w:val="28"/>
          <w:highlight w:val="none"/>
          <w:lang w:val="ru-RU" w:eastAsia="ru-RU"/>
        </w:rPr>
        <w:t xml:space="preserve">сле получения информации от организаторов из аудиторий об успешном начале экзаменов во всех аудиториях ППЭ должен дать указание техническому специалисту передать в систему мониторинга готовности ППЭ статус «Экзамены успешно начались»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Этап завершения ЕГЭ в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tabs>
          <w:tab w:val="left" w:pos="1134" w:leader="none"/>
          <w:tab w:val="left" w:pos="1276" w:leader="none"/>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выпол</w:t>
      </w:r>
      <w:r>
        <w:rPr>
          <w:rFonts w:ascii="Tinos" w:hAnsi="Tinos" w:eastAsia="Tinos" w:cs="Tinos"/>
          <w:sz w:val="28"/>
          <w:szCs w:val="28"/>
          <w:highlight w:val="none"/>
          <w:lang w:val="ru-RU"/>
        </w:rPr>
        <w:t xml:space="preserve">нения экзаменационной работы участниками экзамена во всех аудиториях ППЭ (все участники экзамена покинули аудитории) дать указание техническому специалисту ППЭ передать статус «Экзамены завершены» в систему мониторинга готовности ППЭ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w:t>
      </w:r>
      <w:r>
        <w:rPr>
          <w:rFonts w:ascii="Tinos" w:hAnsi="Tinos" w:eastAsia="Tinos" w:cs="Tinos"/>
          <w:sz w:val="28"/>
          <w:szCs w:val="28"/>
          <w:highlight w:val="none"/>
          <w:lang w:val="ru-RU"/>
        </w:rPr>
        <w:t xml:space="preserve">Штабе ППЭ за специально подготовленным столом, находящимся в зоне видимости камер видеонаблю</w:t>
      </w:r>
      <w:r>
        <w:rPr>
          <w:rFonts w:ascii="Tinos" w:hAnsi="Tinos" w:eastAsia="Tinos" w:cs="Tinos"/>
          <w:sz w:val="28"/>
          <w:szCs w:val="28"/>
          <w:highlight w:val="none"/>
          <w:lang w:val="ru-RU"/>
        </w:rPr>
        <w:t xml:space="preserve">дения, в присутствии членов ГЭК</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получить от всех ответственных организаторов в аудитории следующие материалы:</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w:t>
      </w:r>
      <w:r>
        <w:rPr>
          <w:rFonts w:ascii="Tinos" w:hAnsi="Tinos" w:eastAsia="Tinos" w:cs="Tinos"/>
          <w:sz w:val="28"/>
          <w:szCs w:val="28"/>
          <w:highlight w:val="none"/>
          <w:lang w:val="ru-RU"/>
        </w:rPr>
        <w:t xml:space="preserve">конве</w:t>
      </w:r>
      <w:r>
        <w:rPr>
          <w:rFonts w:ascii="Tinos" w:hAnsi="Tinos" w:eastAsia="Tinos" w:cs="Tinos"/>
          <w:sz w:val="28"/>
          <w:szCs w:val="28"/>
          <w:highlight w:val="none"/>
          <w:lang w:val="ru-RU"/>
        </w:rPr>
        <w:t xml:space="preserve">рт</w:t>
      </w:r>
      <w:r>
        <w:rPr>
          <w:rFonts w:ascii="Tinos" w:hAnsi="Tinos" w:eastAsia="Tinos" w:cs="Tinos"/>
          <w:sz w:val="28"/>
          <w:szCs w:val="28"/>
          <w:highlight w:val="none"/>
          <w:lang w:val="ru-RU"/>
        </w:rPr>
        <w:t xml:space="preserve"> с бл</w:t>
      </w:r>
      <w:r>
        <w:rPr>
          <w:rFonts w:ascii="Tinos" w:hAnsi="Tinos" w:eastAsia="Tinos" w:cs="Tinos"/>
          <w:sz w:val="28"/>
          <w:szCs w:val="28"/>
          <w:highlight w:val="none"/>
          <w:lang w:val="ru-RU"/>
        </w:rPr>
        <w:t xml:space="preserve">анками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конверт с использованными черновиками и черновиками КЕГЭ (на каждом конверте должна быть </w:t>
      </w:r>
      <w:r>
        <w:rPr>
          <w:rFonts w:ascii="Tinos" w:hAnsi="Tinos" w:eastAsia="Tinos" w:cs="Tinos"/>
          <w:sz w:val="28"/>
          <w:szCs w:val="28"/>
          <w:highlight w:val="none"/>
          <w:lang w:val="ru-RU"/>
        </w:rPr>
        <w:t xml:space="preserve">наклеена форма </w:t>
      </w:r>
      <w:r>
        <w:rPr>
          <w:rFonts w:ascii="Tinos" w:hAnsi="Tinos" w:eastAsia="Tinos" w:cs="Tinos"/>
          <w:sz w:val="28"/>
          <w:szCs w:val="28"/>
          <w:highlight w:val="none"/>
          <w:lang w:val="ru-RU"/>
        </w:rPr>
        <w:t xml:space="preserve">ППЭ-11-01</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калибровочный лист с каждой станции организатора, использованной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конверт с испорченными (бракованными) бланками </w:t>
      </w:r>
      <w:r>
        <w:rPr>
          <w:rFonts w:ascii="Tinos" w:hAnsi="Tinos" w:eastAsia="Tinos" w:cs="Tinos"/>
          <w:sz w:val="28"/>
          <w:szCs w:val="28"/>
          <w:highlight w:val="none"/>
          <w:lang w:val="ru-RU"/>
        </w:rPr>
        <w:t xml:space="preserve">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неиспользованные черновики;</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формы:</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ППЭ-05-02-К, ППЭ-12-02 (при наличии), ППЭ-12-04-МАШ</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ППЭ-05-01</w:t>
      </w:r>
      <w:r>
        <w:rPr>
          <w:rFonts w:ascii="Tinos" w:hAnsi="Tinos" w:eastAsia="Tinos" w:cs="Tinos"/>
          <w:sz w:val="28"/>
          <w:szCs w:val="28"/>
          <w:highlight w:val="none"/>
          <w:lang w:val="ru-RU"/>
        </w:rPr>
        <w:t xml:space="preserve">, ППЭ-23, ППЭ-15,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й</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служебные записки (при наличии).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если в течение двух часов от начала экзамена ни один из участников КЕГЭ, распределенных в ППЭ, не явился в ППЭ, член ГЭК по согласованию с председателем ГЭК принимает решение об остановке экзамена в ППЭ. Технический специалист завершает экзам</w:t>
      </w:r>
      <w:r>
        <w:rPr>
          <w:rFonts w:ascii="Tinos" w:hAnsi="Tinos" w:eastAsia="Tinos" w:cs="Tinos"/>
          <w:sz w:val="28"/>
          <w:szCs w:val="28"/>
          <w:highlight w:val="none"/>
          <w:lang w:val="ru-RU"/>
        </w:rPr>
        <w:t xml:space="preserve">ены на всех станциях организатора и станциях КЕГЭ во всех аудиториях ППЭ, включая резервные станции организатора и станции КЕГЭ. Технический специалист на станциях организатора выполняет печать протоколов использования станции организатора в аудитории ППЭ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(форма 23-01) и сохранение электронного журнала работы станции организатора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на станциях КЕГЭ сохраняет электронный журнал работы станции КЕГЭ. Протоколы использования станции организатора в аудитории ППЭ (форма 23-01) подписываются те</w:t>
      </w:r>
      <w:r>
        <w:rPr>
          <w:rFonts w:ascii="Tinos" w:hAnsi="Tinos" w:eastAsia="Tinos" w:cs="Tinos"/>
          <w:sz w:val="28"/>
          <w:szCs w:val="28"/>
          <w:highlight w:val="none"/>
          <w:lang w:val="ru-RU"/>
        </w:rPr>
        <w:t xml:space="preserve">хническим специалистом, членом ГЭК и руководителем ППЭ и остаются на хранение в ППЭ. Электронные журналы работы станции организатора, станции КЕГЭ передаются в систему мониторинга готовности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отсутствия участников экзамена во всех аудиториях ППЭ технический специалист по указанию руководителя ППЭ в личном кабинете ППЭ передает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 статус «Экзамен не состоялся» в систему мониторинга готовности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неявки всех распределенных в отдельные аудитории ППЭ участников экзаменов в течение двух часов от начала экзамена и принятия членом ГЭК 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согласованию с председателем Г</w:t>
      </w:r>
      <w:r>
        <w:rPr>
          <w:rFonts w:ascii="Tinos" w:hAnsi="Tinos" w:eastAsia="Tinos" w:cs="Tinos"/>
          <w:sz w:val="28"/>
          <w:szCs w:val="28"/>
          <w:highlight w:val="none"/>
          <w:lang w:val="ru-RU"/>
        </w:rPr>
        <w:t xml:space="preserve">ЭК решения об остановке экзамена в этих аудиториях ППЭ, технический специалист завершает экзамены на станциях организатора, станциях КЕГЭ в этих аудиториях ППЭ, печатает протоколы использования станции организатора в аудитории ППЭ (форма 23-01) и сохраняет</w:t>
      </w:r>
      <w:r>
        <w:rPr>
          <w:rFonts w:ascii="Tinos" w:hAnsi="Tinos" w:eastAsia="Tinos" w:cs="Tinos"/>
          <w:sz w:val="28"/>
          <w:szCs w:val="28"/>
          <w:highlight w:val="none"/>
          <w:lang w:val="ru-RU"/>
        </w:rPr>
        <w:t xml:space="preserve"> электронный журнал работы станции организатора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для переноса данных между станциями ППЭ, на станциях КЕГЭ сохраняет электронный </w:t>
      </w:r>
      <w:r>
        <w:rPr>
          <w:rFonts w:ascii="Tinos" w:hAnsi="Tinos" w:eastAsia="Tinos" w:cs="Tinos"/>
          <w:sz w:val="28"/>
          <w:szCs w:val="28"/>
          <w:highlight w:val="none"/>
          <w:lang w:val="ru-RU"/>
        </w:rPr>
        <w:t xml:space="preserve">журнал работы станции КЕГЭ. Протоколы использования станции организатора в аудитории ППЭ (форма 23-01) подписываются те</w:t>
      </w:r>
      <w:r>
        <w:rPr>
          <w:rFonts w:ascii="Tinos" w:hAnsi="Tinos" w:eastAsia="Tinos" w:cs="Tinos"/>
          <w:sz w:val="28"/>
          <w:szCs w:val="28"/>
          <w:highlight w:val="none"/>
          <w:lang w:val="ru-RU"/>
        </w:rPr>
        <w:t xml:space="preserve">хническим специалистом, членом ГЭК и руководителем ППЭ и остаются на хранение в ППЭ. Электронные журналы работы станции организатора, станций КЕГЭ передаются в систему мониторинга готовности ППЭ в личном кабинете ППЭ при участии члена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принимает от технического специалиста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с ответами участников КЕГЭ вместе с сопроводительны</w:t>
      </w:r>
      <w:r>
        <w:rPr>
          <w:rFonts w:ascii="Tinos" w:hAnsi="Tinos" w:eastAsia="Tinos" w:cs="Tinos"/>
          <w:sz w:val="28"/>
          <w:szCs w:val="28"/>
          <w:highlight w:val="none"/>
          <w:lang w:val="ru-RU"/>
        </w:rPr>
        <w:t xml:space="preserve">м(</w:t>
      </w:r>
      <w:r>
        <w:rPr>
          <w:rFonts w:ascii="Tinos" w:hAnsi="Tinos" w:eastAsia="Tinos" w:cs="Tinos"/>
          <w:sz w:val="28"/>
          <w:szCs w:val="28"/>
          <w:highlight w:val="none"/>
          <w:lang w:val="ru-RU"/>
        </w:rPr>
        <w:t xml:space="preserve">и) бланком(</w:t>
      </w:r>
      <w:r>
        <w:rPr>
          <w:rFonts w:ascii="Tinos" w:hAnsi="Tinos" w:eastAsia="Tinos" w:cs="Tinos"/>
          <w:sz w:val="28"/>
          <w:szCs w:val="28"/>
          <w:highlight w:val="none"/>
          <w:lang w:val="ru-RU"/>
        </w:rPr>
        <w:t xml:space="preserve">ами</w:t>
      </w:r>
      <w:r>
        <w:rPr>
          <w:rFonts w:ascii="Tinos" w:hAnsi="Tinos" w:eastAsia="Tinos" w:cs="Tinos"/>
          <w:sz w:val="28"/>
          <w:szCs w:val="28"/>
          <w:highlight w:val="none"/>
          <w:lang w:val="ru-RU"/>
        </w:rPr>
        <w:t xml:space="preserve">) к нему (ним).</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совместно с членом ГЭК</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сверяет данные сопроводительного бланка (бланков)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флеш-накопителям</w:t>
      </w:r>
      <w:r>
        <w:rPr>
          <w:rFonts w:ascii="Tinos" w:hAnsi="Tinos" w:eastAsia="Tinos" w:cs="Tinos"/>
          <w:sz w:val="28"/>
          <w:szCs w:val="28"/>
          <w:highlight w:val="none"/>
          <w:lang w:val="ru-RU"/>
        </w:rPr>
        <w:t xml:space="preserve">) с данными формы ППЭ-05-02-К;</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контролир</w:t>
      </w:r>
      <w:r>
        <w:rPr>
          <w:rFonts w:ascii="Tinos" w:hAnsi="Tinos" w:eastAsia="Tinos" w:cs="Tinos"/>
          <w:sz w:val="28"/>
          <w:szCs w:val="28"/>
          <w:highlight w:val="none"/>
          <w:lang w:val="ru-RU"/>
        </w:rPr>
        <w:t xml:space="preserve">ует</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передачу техническим специалистом ППЭ в личном кабинете ППЭ:</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пакета (пакетов для каждой аудитории) с ответами участников КЕГЭ в РЦОИ (может быть </w:t>
      </w:r>
      <w:r>
        <w:rPr>
          <w:rFonts w:ascii="Tinos" w:hAnsi="Tinos" w:eastAsia="Tinos" w:cs="Tinos"/>
          <w:sz w:val="28"/>
          <w:szCs w:val="28"/>
          <w:highlight w:val="none"/>
          <w:lang w:val="ru-RU"/>
        </w:rPr>
        <w:t xml:space="preserve">передан</w:t>
      </w:r>
      <w:r>
        <w:rPr>
          <w:rFonts w:ascii="Tinos" w:hAnsi="Tinos" w:eastAsia="Tinos" w:cs="Tinos"/>
          <w:sz w:val="28"/>
          <w:szCs w:val="28"/>
          <w:highlight w:val="none"/>
          <w:lang w:val="ru-RU"/>
        </w:rPr>
        <w:t xml:space="preserve"> вместе с пакетом электронных образов бланков и форм ППЭ после завершения процедуры сканирования);</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электронных журналов всех основных и резервных станций организатора и станций КЕГЭ в систему мониторинга готовности ППЭ (передачу журналов станций </w:t>
      </w:r>
      <w:r>
        <w:rPr>
          <w:rFonts w:ascii="Tinos" w:hAnsi="Tinos" w:eastAsia="Tinos" w:cs="Tinos"/>
          <w:sz w:val="28"/>
          <w:szCs w:val="28"/>
          <w:highlight w:val="none"/>
          <w:lang w:val="ru-RU"/>
        </w:rPr>
        <w:t xml:space="preserve">КЕГЭ следует выполнять после подтверждения получения пакетов с ответами участников КЕГЭ).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сканирования во всех аудиториях ППЭ</w:t>
      </w:r>
      <w:r>
        <w:rPr>
          <w:rFonts w:ascii="Tinos" w:hAnsi="Tinos" w:eastAsia="Tinos" w:cs="Tinos"/>
          <w:sz w:val="28"/>
          <w:szCs w:val="28"/>
          <w:highlight w:val="none"/>
          <w:lang w:val="ru-RU"/>
        </w:rPr>
        <w:t xml:space="preserve"> р</w:t>
      </w:r>
      <w:r>
        <w:rPr>
          <w:rFonts w:ascii="Tinos" w:hAnsi="Tinos" w:eastAsia="Tinos" w:cs="Tinos"/>
          <w:sz w:val="28"/>
          <w:szCs w:val="28"/>
          <w:highlight w:val="none"/>
          <w:lang w:val="ru-RU"/>
        </w:rPr>
        <w:t xml:space="preserve">уководитель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ри получении от ответственного организатора ЭМ из аудитории заполн</w:t>
      </w:r>
      <w:r>
        <w:rPr>
          <w:rFonts w:ascii="Tinos" w:hAnsi="Tinos" w:eastAsia="Tinos" w:cs="Tinos"/>
          <w:sz w:val="28"/>
          <w:szCs w:val="28"/>
          <w:highlight w:val="none"/>
          <w:lang w:val="ru-RU"/>
        </w:rPr>
        <w:t xml:space="preserve">яет</w:t>
      </w:r>
      <w:r>
        <w:rPr>
          <w:rFonts w:ascii="Tinos" w:hAnsi="Tinos" w:eastAsia="Tinos" w:cs="Tinos"/>
          <w:sz w:val="28"/>
          <w:szCs w:val="28"/>
          <w:highlight w:val="none"/>
          <w:lang w:val="ru-RU"/>
        </w:rPr>
        <w:t xml:space="preserve"> форму ППЭ-13-03-К на основе данных Сопроводительного бланка к материалам ЕГЭ, не вскрывая </w:t>
      </w:r>
      <w:r>
        <w:rPr>
          <w:rFonts w:ascii="Tinos" w:hAnsi="Tinos" w:eastAsia="Tinos" w:cs="Tinos"/>
          <w:sz w:val="28"/>
          <w:szCs w:val="28"/>
          <w:highlight w:val="none"/>
          <w:lang w:val="ru-RU"/>
        </w:rPr>
        <w:t xml:space="preserve">конве</w:t>
      </w:r>
      <w:r>
        <w:rPr>
          <w:rFonts w:ascii="Tinos" w:hAnsi="Tinos" w:eastAsia="Tinos" w:cs="Tinos"/>
          <w:sz w:val="28"/>
          <w:szCs w:val="28"/>
          <w:highlight w:val="none"/>
          <w:lang w:val="ru-RU"/>
        </w:rPr>
        <w:t xml:space="preserve">рт</w:t>
      </w:r>
      <w:r>
        <w:rPr>
          <w:rFonts w:ascii="Tinos" w:hAnsi="Tinos" w:eastAsia="Tinos" w:cs="Tinos"/>
          <w:sz w:val="28"/>
          <w:szCs w:val="28"/>
          <w:highlight w:val="none"/>
          <w:lang w:val="ru-RU"/>
        </w:rPr>
        <w:t xml:space="preserve"> с бл</w:t>
      </w:r>
      <w:r>
        <w:rPr>
          <w:rFonts w:ascii="Tinos" w:hAnsi="Tinos" w:eastAsia="Tinos" w:cs="Tinos"/>
          <w:sz w:val="28"/>
          <w:szCs w:val="28"/>
          <w:highlight w:val="none"/>
          <w:lang w:val="ru-RU"/>
        </w:rPr>
        <w:t xml:space="preserve">анками;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прин</w:t>
      </w:r>
      <w:r>
        <w:rPr>
          <w:rFonts w:ascii="Tinos" w:hAnsi="Tinos" w:eastAsia="Tinos" w:cs="Tinos"/>
          <w:sz w:val="28"/>
          <w:szCs w:val="28"/>
          <w:highlight w:val="none"/>
          <w:lang w:val="ru-RU"/>
        </w:rPr>
        <w:t xml:space="preserve">имает</w:t>
      </w:r>
      <w:r>
        <w:rPr>
          <w:rFonts w:ascii="Tinos" w:hAnsi="Tinos" w:eastAsia="Tinos" w:cs="Tinos"/>
          <w:sz w:val="28"/>
          <w:szCs w:val="28"/>
          <w:highlight w:val="none"/>
          <w:lang w:val="ru-RU"/>
        </w:rPr>
        <w:t xml:space="preserve"> у общественного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ых</w:t>
      </w:r>
      <w:r>
        <w:rPr>
          <w:rFonts w:ascii="Tinos" w:hAnsi="Tinos" w:eastAsia="Tinos" w:cs="Tinos"/>
          <w:sz w:val="28"/>
          <w:szCs w:val="28"/>
          <w:highlight w:val="none"/>
          <w:lang w:val="ru-RU"/>
        </w:rPr>
        <w:t xml:space="preserve">) наблюдателя (-ей) (в случае присутствия в ППЭ в день проведения экзамена</w:t>
      </w:r>
      <w:r>
        <w:rPr>
          <w:rFonts w:ascii="Tinos" w:hAnsi="Tinos" w:eastAsia="Tinos" w:cs="Tinos"/>
          <w:sz w:val="28"/>
          <w:szCs w:val="28"/>
          <w:highlight w:val="none"/>
          <w:lang w:val="ru-RU"/>
        </w:rPr>
        <w:t xml:space="preserve">) заполненную форму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ППЭ-18-МАШ </w:t>
      </w:r>
      <w:r>
        <w:rPr>
          <w:rFonts w:ascii="Tinos" w:hAnsi="Tinos" w:eastAsia="Tinos" w:cs="Tinos"/>
          <w:sz w:val="28"/>
          <w:szCs w:val="28"/>
          <w:highlight w:val="none"/>
          <w:lang w:val="ru-RU"/>
        </w:rPr>
        <w:t xml:space="preserve">(в случае неявки общественного наблюдателя в форме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ППЭ-18-МАШ поставить соответствующую отметку в разделе «Общественный наблюдатель не явился в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оформ</w:t>
      </w:r>
      <w:r>
        <w:rPr>
          <w:rFonts w:ascii="Tinos" w:hAnsi="Tinos" w:eastAsia="Tinos" w:cs="Tinos"/>
          <w:sz w:val="28"/>
          <w:szCs w:val="28"/>
          <w:highlight w:val="none"/>
          <w:lang w:val="ru-RU"/>
        </w:rPr>
        <w:t xml:space="preserve">ляет</w:t>
      </w:r>
      <w:r>
        <w:rPr>
          <w:rFonts w:ascii="Tinos" w:hAnsi="Tinos" w:eastAsia="Tinos" w:cs="Tinos"/>
          <w:sz w:val="28"/>
          <w:szCs w:val="28"/>
          <w:highlight w:val="none"/>
          <w:lang w:val="ru-RU"/>
        </w:rPr>
        <w:t xml:space="preserve"> необходимые документы по результатам проведения экзамена в ППЭ по следующим формам: </w:t>
      </w:r>
      <w:r>
        <w:rPr>
          <w:rFonts w:ascii="Tinos" w:hAnsi="Tinos" w:eastAsia="Tinos" w:cs="Tinos"/>
          <w:sz w:val="28"/>
          <w:szCs w:val="28"/>
          <w:highlight w:val="none"/>
          <w:lang w:val="ru-RU"/>
        </w:rPr>
        <w:t xml:space="preserve">ППЭ 13-03-К</w:t>
      </w:r>
      <w:r>
        <w:rPr>
          <w:rFonts w:ascii="Tinos" w:hAnsi="Tinos" w:eastAsia="Tinos" w:cs="Tinos"/>
          <w:sz w:val="28"/>
          <w:szCs w:val="28"/>
          <w:highlight w:val="none"/>
          <w:lang w:val="ru-RU"/>
        </w:rPr>
        <w:t xml:space="preserve">, ППЭ 14-01-К, </w:t>
      </w:r>
      <w:r>
        <w:rPr>
          <w:rFonts w:ascii="Tinos" w:hAnsi="Tinos" w:eastAsia="Tinos" w:cs="Tinos"/>
          <w:sz w:val="28"/>
          <w:szCs w:val="28"/>
          <w:highlight w:val="none"/>
          <w:lang w:val="ru-RU"/>
        </w:rPr>
        <w:t xml:space="preserve">ППЭ-14-02-К;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переда</w:t>
      </w:r>
      <w:r>
        <w:rPr>
          <w:rFonts w:ascii="Tinos" w:hAnsi="Tinos" w:eastAsia="Tinos" w:cs="Tinos"/>
          <w:sz w:val="28"/>
          <w:szCs w:val="28"/>
          <w:highlight w:val="none"/>
          <w:lang w:val="ru-RU"/>
        </w:rPr>
        <w:t xml:space="preserve">ет</w:t>
      </w:r>
      <w:r>
        <w:rPr>
          <w:rFonts w:ascii="Tinos" w:hAnsi="Tinos" w:eastAsia="Tinos" w:cs="Tinos"/>
          <w:sz w:val="28"/>
          <w:szCs w:val="28"/>
          <w:highlight w:val="none"/>
          <w:lang w:val="ru-RU"/>
        </w:rPr>
        <w:t xml:space="preserve"> техническому специалисту заполненные формы ППЭ: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ППЭ-07, </w:t>
      </w:r>
      <w:r>
        <w:rPr>
          <w:rFonts w:ascii="Tinos" w:hAnsi="Tinos" w:eastAsia="Tinos" w:cs="Tinos"/>
          <w:sz w:val="28"/>
          <w:szCs w:val="28"/>
          <w:highlight w:val="none"/>
          <w:lang w:val="ru-RU"/>
        </w:rPr>
        <w:t xml:space="preserve">ППЭ 13-03-К,</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ППЭ-14-02-К,</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ППЭ-18-МАШ (при наличии), ППЭ-19 (при наличии)</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ППЭ-21 </w:t>
      </w:r>
      <w:r>
        <w:rPr>
          <w:rFonts w:ascii="Tinos" w:hAnsi="Tinos" w:eastAsia="Tinos" w:cs="Tinos"/>
          <w:sz w:val="28"/>
          <w:szCs w:val="28"/>
          <w:highlight w:val="none"/>
          <w:lang w:val="ru-RU"/>
        </w:rPr>
        <w:t xml:space="preserve">(при наличии), </w:t>
      </w:r>
      <w:r>
        <w:rPr>
          <w:rFonts w:ascii="Tinos" w:hAnsi="Tinos" w:eastAsia="Tinos" w:cs="Tinos"/>
          <w:sz w:val="28"/>
          <w:szCs w:val="28"/>
          <w:highlight w:val="none"/>
          <w:lang w:val="ru-RU"/>
        </w:rPr>
        <w:t xml:space="preserve">ППЭ-21-1 </w:t>
      </w:r>
      <w:r>
        <w:rPr>
          <w:rFonts w:ascii="Tinos" w:hAnsi="Tinos" w:eastAsia="Tinos" w:cs="Tinos"/>
          <w:sz w:val="28"/>
          <w:szCs w:val="28"/>
          <w:highlight w:val="none"/>
          <w:lang w:val="ru-RU"/>
        </w:rPr>
        <w:t xml:space="preserve">(при наличии), </w:t>
      </w:r>
      <w:r>
        <w:rPr>
          <w:rFonts w:ascii="Tinos" w:hAnsi="Tinos" w:eastAsia="Tinos" w:cs="Tinos"/>
          <w:sz w:val="28"/>
          <w:szCs w:val="28"/>
          <w:highlight w:val="none"/>
          <w:lang w:val="ru-RU"/>
        </w:rPr>
        <w:t xml:space="preserve">ППЭ-22</w:t>
      </w:r>
      <w:r>
        <w:rPr>
          <w:rFonts w:ascii="Tinos" w:hAnsi="Tinos" w:eastAsia="Tinos" w:cs="Tinos"/>
          <w:sz w:val="28"/>
          <w:szCs w:val="28"/>
          <w:highlight w:val="none"/>
          <w:lang w:val="ru-RU"/>
        </w:rPr>
        <w:t xml:space="preserve"> (при наличии), </w:t>
      </w:r>
      <w:r>
        <w:rPr>
          <w:rFonts w:ascii="Tinos" w:hAnsi="Tinos" w:eastAsia="Tinos" w:cs="Tinos"/>
          <w:sz w:val="28"/>
          <w:szCs w:val="28"/>
          <w:highlight w:val="none"/>
          <w:lang w:val="ru-RU"/>
        </w:rPr>
        <w:t xml:space="preserve">сопроводительный(</w:t>
      </w:r>
      <w:r>
        <w:rPr>
          <w:rFonts w:ascii="Tinos" w:hAnsi="Tinos" w:eastAsia="Tinos" w:cs="Tinos"/>
          <w:sz w:val="28"/>
          <w:szCs w:val="28"/>
          <w:highlight w:val="none"/>
          <w:lang w:val="ru-RU"/>
        </w:rPr>
        <w:t xml:space="preserve">ые</w:t>
      </w:r>
      <w:r>
        <w:rPr>
          <w:rFonts w:ascii="Tinos" w:hAnsi="Tinos" w:eastAsia="Tinos" w:cs="Tinos"/>
          <w:sz w:val="28"/>
          <w:szCs w:val="28"/>
          <w:highlight w:val="none"/>
          <w:lang w:val="ru-RU"/>
        </w:rPr>
        <w:t xml:space="preserve">) бланк(и)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(ям) с ответами участников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eastAsia="ru-RU"/>
        </w:rPr>
        <w:t xml:space="preserve">Также передаются для сканирования материалы</w:t>
      </w:r>
      <w:r>
        <w:rPr>
          <w:rFonts w:ascii="Tinos" w:hAnsi="Tinos" w:eastAsia="Tinos" w:cs="Tinos"/>
          <w:sz w:val="28"/>
          <w:szCs w:val="28"/>
          <w:highlight w:val="none"/>
          <w:lang w:val="ru-RU"/>
        </w:rPr>
        <w:t xml:space="preserve"> апелляций о нарушении установленного порядка проведения ГИА (формы ППЭ-02 и ППЭ-03 (при наличии).</w:t>
      </w:r>
      <w:r>
        <w:rPr>
          <w:rFonts w:ascii="Tinos" w:hAnsi="Tinos" w:cs="Tinos"/>
          <w:sz w:val="28"/>
          <w:szCs w:val="28"/>
          <w:highlight w:val="none"/>
        </w:rPr>
      </w:r>
      <w:r>
        <w:rPr>
          <w:rFonts w:ascii="Tinos" w:hAnsi="Tinos" w:cs="Tinos"/>
          <w:sz w:val="28"/>
          <w:szCs w:val="28"/>
          <w:highlight w:val="none"/>
        </w:rPr>
      </w:r>
    </w:p>
    <w:p>
      <w:pPr>
        <w:ind w:right="12"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Следующие формы ППЭ сканируются в аудиториях на станциях </w:t>
      </w:r>
      <w:r>
        <w:rPr>
          <w:rFonts w:ascii="Tinos" w:hAnsi="Tinos" w:eastAsia="Tinos" w:cs="Tinos"/>
          <w:sz w:val="28"/>
          <w:szCs w:val="28"/>
          <w:highlight w:val="none"/>
          <w:lang w:val="ru-RU"/>
        </w:rPr>
        <w:t xml:space="preserve">организатора:</w:t>
      </w:r>
      <w:r>
        <w:rPr>
          <w:rFonts w:ascii="Tinos" w:hAnsi="Tinos" w:eastAsia="Tinos" w:cs="Tinos"/>
          <w:sz w:val="28"/>
          <w:szCs w:val="28"/>
          <w:highlight w:val="none"/>
          <w:lang w:val="ru-RU"/>
        </w:rPr>
        <w:t xml:space="preserve"> ППЭ-05-02-К, </w:t>
      </w:r>
      <w:r>
        <w:rPr>
          <w:rFonts w:ascii="Tinos" w:hAnsi="Tinos" w:eastAsia="Tinos" w:cs="Tinos"/>
          <w:sz w:val="28"/>
          <w:szCs w:val="28"/>
          <w:highlight w:val="none"/>
          <w:lang w:val="ru-RU"/>
        </w:rPr>
        <w:t xml:space="preserve">ППЭ-12-02 </w:t>
      </w:r>
      <w:r>
        <w:rPr>
          <w:rFonts w:ascii="Tinos" w:hAnsi="Tinos" w:eastAsia="Tinos" w:cs="Tinos"/>
          <w:sz w:val="28"/>
          <w:szCs w:val="28"/>
          <w:highlight w:val="none"/>
          <w:lang w:val="ru-RU"/>
        </w:rPr>
        <w:t xml:space="preserve">(при наличии), </w:t>
      </w:r>
      <w:r>
        <w:rPr>
          <w:rFonts w:ascii="Tinos" w:hAnsi="Tinos" w:eastAsia="Tinos" w:cs="Tinos"/>
          <w:sz w:val="28"/>
          <w:szCs w:val="28"/>
          <w:highlight w:val="none"/>
          <w:lang w:val="ru-RU"/>
        </w:rPr>
        <w:t xml:space="preserve">ППЭ-12-04-МАШ</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получ</w:t>
      </w:r>
      <w:r>
        <w:rPr>
          <w:rFonts w:ascii="Tinos" w:hAnsi="Tinos" w:eastAsia="Tinos" w:cs="Tinos"/>
          <w:sz w:val="28"/>
          <w:szCs w:val="28"/>
          <w:highlight w:val="none"/>
          <w:lang w:val="ru-RU"/>
        </w:rPr>
        <w:t xml:space="preserve">ает </w:t>
      </w:r>
      <w:r>
        <w:rPr>
          <w:rFonts w:ascii="Tinos" w:hAnsi="Tinos" w:eastAsia="Tinos" w:cs="Tinos"/>
          <w:sz w:val="28"/>
          <w:szCs w:val="28"/>
          <w:highlight w:val="none"/>
          <w:lang w:val="ru-RU"/>
        </w:rPr>
        <w:t xml:space="preserve">отсканированные формы ППЭ от технического специалиста;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овместно с членом ГЭК проконтролировать передачу в РЦОИ техническим специалистом ППЭ с помощью личного кабинета ППЭ в Штабе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пакетов с электронными образами бланков регистрации и форм ППЭ;</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пакета (пакетов) с ответами участников КЕГЭ (если не был передан ранее, пакет (пакеты) с ответами участников КЕГЭ могут быть переданы после завершения сверки руководителем ППЭ и членом ГЭК данных сопроводительного бланка к </w:t>
      </w:r>
      <w:r>
        <w:rPr>
          <w:rFonts w:ascii="Tinos" w:hAnsi="Tinos" w:eastAsia="Tinos" w:cs="Tinos"/>
          <w:sz w:val="28"/>
          <w:szCs w:val="28"/>
          <w:highlight w:val="none"/>
          <w:lang w:val="ru-RU"/>
        </w:rPr>
        <w:t xml:space="preserve">флеш-накопителю</w:t>
      </w:r>
      <w:r>
        <w:rPr>
          <w:rFonts w:ascii="Tinos" w:hAnsi="Tinos" w:eastAsia="Tinos" w:cs="Tinos"/>
          <w:sz w:val="28"/>
          <w:szCs w:val="28"/>
          <w:highlight w:val="none"/>
          <w:lang w:val="ru-RU"/>
        </w:rPr>
        <w:t xml:space="preserve"> с ведомостями сдачи экзамена в аудиториях до завершения сканирования бланков 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и техническим специалистом ППЭ ожида</w:t>
      </w:r>
      <w:r>
        <w:rPr>
          <w:rFonts w:ascii="Tinos" w:hAnsi="Tinos" w:eastAsia="Tinos" w:cs="Tinos"/>
          <w:sz w:val="28"/>
          <w:szCs w:val="28"/>
          <w:highlight w:val="none"/>
          <w:lang w:val="ru-RU"/>
        </w:rPr>
        <w:t xml:space="preserve">ет</w:t>
      </w:r>
      <w:r>
        <w:rPr>
          <w:rFonts w:ascii="Tinos" w:hAnsi="Tinos" w:eastAsia="Tinos" w:cs="Tinos"/>
          <w:sz w:val="28"/>
          <w:szCs w:val="28"/>
          <w:highlight w:val="none"/>
          <w:lang w:val="ru-RU"/>
        </w:rPr>
        <w:t xml:space="preserve"> в Штабе ППЭ подтверждения от РЦОИ факта успешного получения и расшифровки переданных пакетов с электронными образами бланков и форм ППЭ, пакета (пакетов) с ответами участников КЕГЭ (статус всех пакетов принимает значение «подтвержден»);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после получения от РЦОИ подтверждения по всем пакетам подпис</w:t>
      </w:r>
      <w:r>
        <w:rPr>
          <w:rFonts w:ascii="Tinos" w:hAnsi="Tinos" w:eastAsia="Tinos" w:cs="Tinos"/>
          <w:sz w:val="28"/>
          <w:szCs w:val="28"/>
          <w:highlight w:val="none"/>
          <w:lang w:val="ru-RU"/>
        </w:rPr>
        <w:t xml:space="preserve">ывает</w:t>
      </w:r>
      <w:r>
        <w:rPr>
          <w:rFonts w:ascii="Tinos" w:hAnsi="Tinos" w:eastAsia="Tinos" w:cs="Tinos"/>
          <w:sz w:val="28"/>
          <w:szCs w:val="28"/>
          <w:highlight w:val="none"/>
          <w:lang w:val="ru-RU"/>
        </w:rPr>
        <w:t xml:space="preserve"> распечатанный протокол проведения процедуры сканирования в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контролир</w:t>
      </w:r>
      <w:r>
        <w:rPr>
          <w:rFonts w:ascii="Tinos" w:hAnsi="Tinos" w:eastAsia="Tinos" w:cs="Tinos"/>
          <w:sz w:val="28"/>
          <w:szCs w:val="28"/>
          <w:highlight w:val="none"/>
          <w:lang w:val="ru-RU"/>
        </w:rPr>
        <w:t xml:space="preserve">ует </w:t>
      </w:r>
      <w:r>
        <w:rPr>
          <w:rFonts w:ascii="Tinos" w:hAnsi="Tinos" w:eastAsia="Tinos" w:cs="Tinos"/>
          <w:sz w:val="28"/>
          <w:szCs w:val="28"/>
          <w:highlight w:val="none"/>
          <w:lang w:val="ru-RU"/>
        </w:rPr>
        <w:t xml:space="preserve">передачу техническим специалистом ППЭ в систему мониторинга готовности ППЭ в личном кабинете ППЭ в Штабе ППЭ:</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электронных журналов работы основной и резервной станций </w:t>
      </w:r>
      <w:r>
        <w:rPr>
          <w:rFonts w:ascii="Tinos" w:hAnsi="Tinos" w:eastAsia="Tinos" w:cs="Tinos"/>
          <w:sz w:val="28"/>
          <w:szCs w:val="28"/>
          <w:highlight w:val="none"/>
          <w:lang w:val="ru-RU"/>
        </w:rPr>
        <w:t xml:space="preserve">Штаба</w:t>
      </w:r>
      <w:r>
        <w:rPr>
          <w:rFonts w:ascii="Tinos" w:hAnsi="Tinos" w:eastAsia="Tinos" w:cs="Tinos"/>
          <w:sz w:val="28"/>
          <w:szCs w:val="28"/>
          <w:highlight w:val="none"/>
          <w:lang w:val="ru-RU"/>
        </w:rPr>
        <w:t xml:space="preserve"> ППЭ; </w:t>
      </w:r>
      <w:r>
        <w:rPr>
          <w:rFonts w:ascii="Tinos" w:hAnsi="Tinos" w:cs="Tinos"/>
          <w:sz w:val="28"/>
          <w:szCs w:val="28"/>
          <w:highlight w:val="none"/>
        </w:rPr>
      </w:r>
      <w:r>
        <w:rPr>
          <w:rFonts w:ascii="Tinos" w:hAnsi="Tinos" w:cs="Tinos"/>
          <w:sz w:val="28"/>
          <w:szCs w:val="28"/>
          <w:highlight w:val="none"/>
        </w:rPr>
      </w:r>
    </w:p>
    <w:p>
      <w:pPr>
        <w:pStyle w:val="1003"/>
        <w:numPr>
          <w:ilvl w:val="0"/>
          <w:numId w:val="14"/>
        </w:numPr>
        <w:ind w:left="0" w:right="10" w:firstLine="709"/>
        <w:spacing w:before="0" w:beforeAutospacing="0" w:after="0" w:afterAutospacing="0" w:line="240" w:lineRule="auto"/>
        <w:tabs>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статуса «Материалы переданы в РЦОИ». Статус «Материалы переданы в РЦОИ» может быть передан, если в РЦОИ было передано подтверждение о </w:t>
      </w:r>
      <w:r>
        <w:rPr>
          <w:rFonts w:ascii="Tinos" w:hAnsi="Tinos" w:eastAsia="Tinos" w:cs="Tinos"/>
          <w:sz w:val="28"/>
          <w:szCs w:val="28"/>
          <w:highlight w:val="none"/>
          <w:lang w:val="ru-RU"/>
        </w:rPr>
        <w:t xml:space="preserve">завершении передачи ЭМ;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совместно с членом ГЭК ещё раз пересчитыва</w:t>
      </w:r>
      <w:r>
        <w:rPr>
          <w:rFonts w:ascii="Tinos" w:hAnsi="Tinos" w:eastAsia="Tinos" w:cs="Tinos"/>
          <w:sz w:val="28"/>
          <w:szCs w:val="28"/>
          <w:highlight w:val="none"/>
          <w:lang w:val="ru-RU"/>
        </w:rPr>
        <w:t xml:space="preserve">ет все бланки регистрации, сверяе</w:t>
      </w:r>
      <w:r>
        <w:rPr>
          <w:rFonts w:ascii="Tinos" w:hAnsi="Tinos" w:eastAsia="Tinos" w:cs="Tinos"/>
          <w:sz w:val="28"/>
          <w:szCs w:val="28"/>
          <w:highlight w:val="none"/>
          <w:lang w:val="ru-RU"/>
        </w:rPr>
        <w:t xml:space="preserve">т информацию на сопроводительных бланках </w:t>
      </w:r>
      <w:r>
        <w:rPr>
          <w:rFonts w:ascii="Tinos" w:hAnsi="Tinos" w:eastAsia="Tinos" w:cs="Tinos"/>
          <w:sz w:val="28"/>
          <w:szCs w:val="28"/>
          <w:highlight w:val="none"/>
          <w:lang w:val="ru-RU"/>
        </w:rPr>
        <w:t xml:space="preserve">конвертов</w:t>
      </w:r>
      <w:r>
        <w:rPr>
          <w:rFonts w:ascii="Tinos" w:hAnsi="Tinos" w:eastAsia="Tinos" w:cs="Tinos"/>
          <w:sz w:val="28"/>
          <w:szCs w:val="28"/>
          <w:highlight w:val="none"/>
          <w:lang w:val="ru-RU"/>
        </w:rPr>
        <w:t xml:space="preserve">, в которых бланки регистрации были доставлены из аудиторий в Штаб ППЭ, и нового </w:t>
      </w:r>
      <w:r>
        <w:rPr>
          <w:rFonts w:ascii="Tinos" w:hAnsi="Tinos" w:eastAsia="Tinos" w:cs="Tinos"/>
          <w:sz w:val="28"/>
          <w:szCs w:val="28"/>
          <w:highlight w:val="none"/>
          <w:lang w:val="ru-RU"/>
        </w:rPr>
        <w:t xml:space="preserve">конверта</w:t>
      </w:r>
      <w:r>
        <w:rPr>
          <w:rFonts w:ascii="Tinos" w:hAnsi="Tinos" w:eastAsia="Tinos" w:cs="Tinos"/>
          <w:sz w:val="28"/>
          <w:szCs w:val="28"/>
          <w:highlight w:val="none"/>
          <w:lang w:val="ru-RU"/>
        </w:rPr>
        <w:t xml:space="preserve">, проверяют, что в новые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вложены калибровочные листы и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в </w:t>
      </w:r>
      <w:r>
        <w:rPr>
          <w:rFonts w:ascii="Tinos" w:hAnsi="Tinos" w:eastAsia="Tinos" w:cs="Tinos"/>
          <w:sz w:val="28"/>
          <w:szCs w:val="28"/>
          <w:highlight w:val="none"/>
          <w:lang w:val="ru-RU"/>
        </w:rPr>
        <w:t xml:space="preserve">которых бланки регистрации были доставлены из аудиторий в Штаб ППЭ, и запечатыва</w:t>
      </w:r>
      <w:r>
        <w:rPr>
          <w:rFonts w:ascii="Tinos" w:hAnsi="Tinos" w:eastAsia="Tinos" w:cs="Tinos"/>
          <w:sz w:val="28"/>
          <w:szCs w:val="28"/>
          <w:highlight w:val="none"/>
          <w:lang w:val="ru-RU"/>
        </w:rPr>
        <w:t xml:space="preserve">е</w:t>
      </w:r>
      <w:r>
        <w:rPr>
          <w:rFonts w:ascii="Tinos" w:hAnsi="Tinos" w:eastAsia="Tinos" w:cs="Tinos"/>
          <w:sz w:val="28"/>
          <w:szCs w:val="28"/>
          <w:highlight w:val="none"/>
          <w:lang w:val="ru-RU"/>
        </w:rPr>
        <w:t xml:space="preserve">т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с бланками регистрации для хранения и</w:t>
      </w:r>
      <w:r>
        <w:rPr>
          <w:rFonts w:ascii="Tinos" w:hAnsi="Tinos" w:eastAsia="Tinos" w:cs="Tinos"/>
          <w:sz w:val="28"/>
          <w:szCs w:val="28"/>
          <w:highlight w:val="none"/>
          <w:lang w:val="ru-RU"/>
        </w:rPr>
        <w:t xml:space="preserve"> транспортировки;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переда</w:t>
      </w:r>
      <w:r>
        <w:rPr>
          <w:rFonts w:ascii="Tinos" w:hAnsi="Tinos" w:eastAsia="Tinos" w:cs="Tinos"/>
          <w:sz w:val="28"/>
          <w:szCs w:val="28"/>
          <w:highlight w:val="none"/>
          <w:lang w:val="ru-RU"/>
        </w:rPr>
        <w:t xml:space="preserve">ет</w:t>
      </w:r>
      <w:r>
        <w:rPr>
          <w:rFonts w:ascii="Tinos" w:hAnsi="Tinos" w:eastAsia="Tinos" w:cs="Tinos"/>
          <w:sz w:val="28"/>
          <w:szCs w:val="28"/>
          <w:highlight w:val="none"/>
          <w:lang w:val="ru-RU"/>
        </w:rPr>
        <w:t xml:space="preserve"> материалы экзамена члену ГЭК</w:t>
      </w:r>
      <w:bookmarkStart w:id="0" w:name="_GoBack"/>
      <w:r>
        <w:rPr>
          <w:rFonts w:ascii="Tinos" w:hAnsi="Tinos" w:eastAsia="Tinos" w:cs="Tinos"/>
          <w:highlight w:val="none"/>
        </w:rPr>
      </w:r>
      <w:bookmarkEnd w:id="0"/>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рисутств</w:t>
      </w:r>
      <w:r>
        <w:rPr>
          <w:rFonts w:ascii="Tinos" w:hAnsi="Tinos" w:eastAsia="Tinos" w:cs="Tinos"/>
          <w:sz w:val="28"/>
          <w:szCs w:val="28"/>
          <w:highlight w:val="none"/>
          <w:lang w:val="ru-RU"/>
        </w:rPr>
        <w:t xml:space="preserve">ует</w:t>
      </w:r>
      <w:r>
        <w:rPr>
          <w:rFonts w:ascii="Tinos" w:hAnsi="Tinos" w:eastAsia="Tinos" w:cs="Tinos"/>
          <w:sz w:val="28"/>
          <w:szCs w:val="28"/>
          <w:highlight w:val="none"/>
          <w:lang w:val="ru-RU"/>
        </w:rPr>
        <w:t xml:space="preserve"> при упаковке членами ГЭК материалов экзамена </w:t>
      </w:r>
      <w:r>
        <w:rPr>
          <w:rFonts w:ascii="Tinos" w:hAnsi="Tinos" w:eastAsia="Tinos" w:cs="Tinos"/>
          <w:sz w:val="28"/>
          <w:szCs w:val="28"/>
          <w:highlight w:val="none"/>
          <w:lang w:val="ru-RU"/>
        </w:rPr>
        <w:t xml:space="preserve">для последующей передачи на хранение в места, определенные Министерством образования области, в соответствии со схемой, утверждённой Министерством образования области, за специально подготовленным столом, находящимся в зоне видимости камер видеонаблюдения.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флеш-накопители</w:t>
      </w:r>
      <w:r>
        <w:rPr>
          <w:rFonts w:ascii="Tinos" w:hAnsi="Tinos" w:eastAsia="Tinos" w:cs="Tinos"/>
          <w:sz w:val="28"/>
          <w:szCs w:val="28"/>
          <w:highlight w:val="none"/>
          <w:lang w:val="ru-RU"/>
        </w:rPr>
        <w:t xml:space="preserve">) с ответами участников КЕГЭ, бланки регистрации участников КЕГЭ после направления ответов участников КЕГЭ и отсканированных изображений бланков регистрации и форм ППЭ хранятся в соответствии со схемой, определённой Министерством образования области.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ind w:right="0" w:firstLine="0"/>
        <w:jc w:val="left"/>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br w:type="page" w:clear="all"/>
      </w:r>
      <w:r>
        <w:rPr>
          <w:rFonts w:ascii="Tinos" w:hAnsi="Tinos" w:cs="Tinos"/>
          <w:sz w:val="28"/>
          <w:szCs w:val="28"/>
          <w:highlight w:val="cyan"/>
        </w:rPr>
      </w:r>
      <w:r>
        <w:rPr>
          <w:rFonts w:ascii="Tinos" w:hAnsi="Tinos" w:cs="Tinos"/>
          <w:sz w:val="28"/>
          <w:szCs w:val="28"/>
          <w:highlight w:val="cyan"/>
        </w:rPr>
      </w:r>
    </w:p>
    <w:p>
      <w:pPr>
        <w:pStyle w:val="1003"/>
        <w:numPr>
          <w:ilvl w:val="0"/>
          <w:numId w:val="1"/>
        </w:numPr>
        <w:ind w:left="0" w:firstLine="709"/>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Инструкция для организатора в аудитории</w:t>
      </w:r>
      <w:r>
        <w:rPr>
          <w:rStyle w:val="1000"/>
          <w:rFonts w:ascii="Tinos" w:hAnsi="Tinos" w:eastAsia="Tinos" w:cs="Tinos"/>
          <w:sz w:val="28"/>
          <w:szCs w:val="28"/>
          <w:highlight w:val="none"/>
          <w:lang w:val="ru-RU"/>
        </w:rPr>
        <w:footnoteReference w:id="7"/>
      </w:r>
      <w:r>
        <w:rPr>
          <w:rFonts w:ascii="Tinos" w:hAnsi="Tinos" w:cs="Tinos"/>
          <w:sz w:val="28"/>
          <w:szCs w:val="28"/>
          <w:highlight w:val="none"/>
        </w:rPr>
      </w:r>
      <w:r>
        <w:rPr>
          <w:rFonts w:ascii="Tinos" w:hAnsi="Tinos" w:cs="Tinos"/>
          <w:sz w:val="28"/>
          <w:szCs w:val="28"/>
          <w:highlight w:val="none"/>
        </w:rPr>
      </w:r>
    </w:p>
    <w:p>
      <w:pPr>
        <w:ind w:firstLine="0"/>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pStyle w:val="1003"/>
        <w:numPr>
          <w:ilvl w:val="1"/>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w:t>
      </w:r>
      <w:r>
        <w:rPr>
          <w:rFonts w:ascii="Tinos" w:hAnsi="Tinos" w:eastAsia="Tinos" w:cs="Tinos"/>
          <w:sz w:val="28"/>
          <w:szCs w:val="28"/>
          <w:highlight w:val="none"/>
          <w:lang w:val="ru-RU"/>
        </w:rPr>
        <w:t xml:space="preserve">подготовительном этапе</w:t>
      </w:r>
      <w:r>
        <w:rPr>
          <w:rFonts w:ascii="Tinos" w:hAnsi="Tinos" w:eastAsia="Tinos" w:cs="Tinos"/>
          <w:sz w:val="28"/>
          <w:szCs w:val="28"/>
          <w:highlight w:val="none"/>
          <w:lang w:val="ru-RU"/>
        </w:rPr>
        <w:t xml:space="preserve"> организаторы в аудитории </w:t>
      </w:r>
      <w:r>
        <w:rPr>
          <w:rFonts w:ascii="Tinos" w:hAnsi="Tinos" w:eastAsia="Tinos" w:cs="Tinos"/>
          <w:sz w:val="28"/>
          <w:szCs w:val="28"/>
          <w:highlight w:val="none"/>
          <w:lang w:val="ru-RU"/>
        </w:rPr>
        <w:t xml:space="preserve">должны</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Ответственный организатор, назначенный руководителем ППЭ, распределяет роли организаторов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 процедуру печати бланков регистрации – организатор, ответственный за печать бланков регистрации, и организатор, ответственный за проверку качества бланков 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 процедуру расшифровки КИМ на станциях КЕГЭ – организатор, ответственный за расшифровку КИМ на станции КЕГЭ, и организатор, ответственный за проведение инструктажа;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также определяется организатор, ответственный за сканирование в аудитории.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Получить </w:t>
      </w:r>
      <w:r>
        <w:rPr>
          <w:rFonts w:ascii="Tinos" w:hAnsi="Tinos" w:eastAsia="Tinos" w:cs="Tinos"/>
          <w:sz w:val="28"/>
          <w:szCs w:val="28"/>
          <w:highlight w:val="none"/>
          <w:lang w:val="ru-RU"/>
        </w:rPr>
        <w:t xml:space="preserve">от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формы:</w:t>
      </w:r>
      <w:r>
        <w:rPr>
          <w:rFonts w:ascii="Tinos" w:hAnsi="Tinos" w:eastAsia="Tinos" w:cs="Tinos"/>
          <w:sz w:val="28"/>
          <w:szCs w:val="28"/>
          <w:highlight w:val="none"/>
          <w:lang w:val="ru-RU"/>
        </w:rPr>
        <w:t xml:space="preserve"> ППЭ-05-0</w:t>
      </w:r>
      <w:r>
        <w:rPr>
          <w:rFonts w:ascii="Tinos" w:hAnsi="Tinos" w:eastAsia="Tinos" w:cs="Tinos"/>
          <w:sz w:val="28"/>
          <w:szCs w:val="28"/>
          <w:highlight w:val="none"/>
          <w:lang w:val="ru-RU"/>
        </w:rPr>
        <w:t xml:space="preserve">1</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ППЭ-05-02-К</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ППЭ-12-02</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ППЭ-12-04-МАШ</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ППЭ-16;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напечатанную тестовую страницу границ печати (калибровочный лист) станции организатора соответствующей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конверт для упаковки использованных черновиков (один конверт на аудиторию);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(для каждого участника);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 (на каждую Станци</w:t>
      </w:r>
      <w:r>
        <w:rPr>
          <w:rFonts w:ascii="Tinos" w:hAnsi="Tinos" w:eastAsia="Tinos" w:cs="Tinos"/>
          <w:sz w:val="28"/>
          <w:szCs w:val="28"/>
          <w:highlight w:val="none"/>
          <w:lang w:val="ru-RU"/>
        </w:rPr>
        <w:t xml:space="preserve">ю</w:t>
      </w:r>
      <w:r>
        <w:rPr>
          <w:rFonts w:ascii="Tinos" w:hAnsi="Tinos" w:eastAsia="Tinos" w:cs="Tinos"/>
          <w:sz w:val="28"/>
          <w:szCs w:val="28"/>
          <w:highlight w:val="none"/>
          <w:lang w:val="ru-RU"/>
        </w:rPr>
        <w:t xml:space="preserve"> КЕГЭ, подготовленную для проведения экзамена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код активации экзамена </w:t>
      </w:r>
      <w:r>
        <w:rPr>
          <w:rFonts w:ascii="Tinos" w:hAnsi="Tinos" w:eastAsia="Tinos" w:cs="Tinos"/>
          <w:sz w:val="28"/>
          <w:szCs w:val="28"/>
          <w:highlight w:val="none"/>
          <w:lang w:val="ru-RU"/>
        </w:rPr>
        <w:t xml:space="preserve">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 (код активации экзамена одинаковый для всех станций КЕГЭ в одной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2 </w:t>
      </w:r>
      <w:r>
        <w:rPr>
          <w:rFonts w:ascii="Tinos" w:hAnsi="Tinos" w:eastAsia="Tinos" w:cs="Tinos"/>
          <w:sz w:val="28"/>
          <w:szCs w:val="28"/>
          <w:highlight w:val="none"/>
          <w:lang w:val="ru-RU"/>
        </w:rPr>
        <w:t xml:space="preserve">конверта</w:t>
      </w:r>
      <w:r>
        <w:rPr>
          <w:rFonts w:ascii="Tinos" w:hAnsi="Tinos" w:eastAsia="Tinos" w:cs="Tinos"/>
          <w:sz w:val="28"/>
          <w:szCs w:val="28"/>
          <w:highlight w:val="none"/>
          <w:lang w:val="ru-RU"/>
        </w:rPr>
        <w:t xml:space="preserve"> (для упаковки бланков регистрации участников экзамена, для упаковки испорченных и бракованных бланков регистрации)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инструкцию для участников экзамена, зачитываемую организатором в аудитории перед началом выполнения экзаменационной работы (одна инструкция </w:t>
      </w:r>
      <w:r>
        <w:rPr>
          <w:rFonts w:ascii="Tinos" w:hAnsi="Tinos" w:eastAsia="Tinos" w:cs="Tinos"/>
          <w:sz w:val="28"/>
          <w:szCs w:val="28"/>
          <w:highlight w:val="none"/>
          <w:lang w:val="ru-RU"/>
        </w:rPr>
        <w:t xml:space="preserve">на аудиторию)</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приложение 11 к настоящему приказу</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w:t>
      </w:r>
      <w:r>
        <w:rPr>
          <w:rFonts w:ascii="Tinos" w:hAnsi="Tinos" w:eastAsia="Tinos" w:cs="Tinos"/>
          <w:sz w:val="28"/>
          <w:szCs w:val="28"/>
          <w:highlight w:val="none"/>
          <w:lang w:val="ru-RU"/>
        </w:rPr>
        <w:t xml:space="preserve">позднее 08 часов 45 минут:</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разложить на рабочие места участников эк</w:t>
      </w:r>
      <w:r>
        <w:rPr>
          <w:rFonts w:ascii="Tinos" w:hAnsi="Tinos" w:eastAsia="Tinos" w:cs="Tinos"/>
          <w:sz w:val="28"/>
          <w:szCs w:val="28"/>
          <w:highlight w:val="none"/>
          <w:lang w:val="ru-RU"/>
        </w:rPr>
        <w:t xml:space="preserve">замена приложения к паспорту станции КЕГЭ в соответствии с номерами компьютеров (ноутбуков), указанных в приложении к паспорту станции КЕГЭ (номер компьютера (ноутбука) отображён в интерфейсе станции КЕГЭ, см. рисунок), а также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 сдачи КЕГЭ.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ind w:right="0" w:firstLine="0"/>
        <w:jc w:val="center"/>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eastAsia="ru-RU"/>
        </w:rPr>
        <mc:AlternateContent>
          <mc:Choice Requires="wpg">
            <w:drawing>
              <wp:inline xmlns:wp="http://schemas.openxmlformats.org/drawingml/2006/wordprocessingDrawing" distT="0" distB="0" distL="0" distR="0">
                <wp:extent cx="5822950" cy="4658360"/>
                <wp:effectExtent l="1905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r/>
                      </pic:nvPicPr>
                      <pic:blipFill>
                        <a:blip r:embed="rId12"/>
                        <a:stretch/>
                      </pic:blipFill>
                      <pic:spPr bwMode="auto">
                        <a:xfrm>
                          <a:off x="0" y="0"/>
                          <a:ext cx="5822950" cy="4658360"/>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458.50pt;height:366.80pt;mso-wrap-distance-left:0.00pt;mso-wrap-distance-top:0.00pt;mso-wrap-distance-right:0.00pt;mso-wrap-distance-bottom:0.00pt;" stroked="f" strokeweight="0.75pt">
                <v:path textboxrect="0,0,0,0"/>
                <v:imagedata r:id="rId12" o:title=""/>
              </v:shape>
            </w:pict>
          </mc:Fallback>
        </mc:AlternateContent>
      </w:r>
      <w:r>
        <w:rPr>
          <w:rFonts w:ascii="Tinos" w:hAnsi="Tinos" w:cs="Tinos"/>
          <w:sz w:val="28"/>
          <w:szCs w:val="28"/>
          <w:highlight w:val="cyan"/>
        </w:rPr>
      </w:r>
      <w:r>
        <w:rPr>
          <w:rFonts w:ascii="Tinos" w:hAnsi="Tinos" w:cs="Tinos"/>
          <w:sz w:val="28"/>
          <w:szCs w:val="28"/>
          <w:highlight w:val="cyan"/>
        </w:rPr>
      </w:r>
    </w:p>
    <w:p>
      <w:pPr>
        <w:ind w:right="0" w:firstLine="709"/>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Рис. 1. Интерфейс </w:t>
      </w:r>
      <w:r>
        <w:rPr>
          <w:rFonts w:ascii="Tinos" w:hAnsi="Tinos" w:eastAsia="Tinos" w:cs="Tinos"/>
          <w:sz w:val="20"/>
          <w:szCs w:val="20"/>
          <w:highlight w:val="none"/>
          <w:lang w:val="ru-RU"/>
        </w:rPr>
        <w:t xml:space="preserve">Станции</w:t>
      </w:r>
      <w:r>
        <w:rPr>
          <w:rFonts w:ascii="Tinos" w:hAnsi="Tinos" w:eastAsia="Tinos" w:cs="Tinos"/>
          <w:sz w:val="20"/>
          <w:szCs w:val="20"/>
          <w:highlight w:val="none"/>
          <w:lang w:val="ru-RU"/>
        </w:rPr>
        <w:t xml:space="preserve"> КЕГЭ</w:t>
      </w:r>
      <w:r>
        <w:rPr>
          <w:rFonts w:ascii="Tinos" w:hAnsi="Tinos" w:cs="Tinos"/>
          <w:sz w:val="20"/>
          <w:szCs w:val="20"/>
          <w:highlight w:val="none"/>
        </w:rPr>
      </w:r>
      <w:r>
        <w:rPr>
          <w:rFonts w:ascii="Tinos" w:hAnsi="Tinos" w:cs="Tinos"/>
          <w:sz w:val="20"/>
          <w:szCs w:val="20"/>
          <w:highlight w:val="none"/>
        </w:rPr>
      </w:r>
    </w:p>
    <w:p>
      <w:pPr>
        <w:ind w:right="0" w:firstLine="709"/>
        <w:jc w:val="center"/>
        <w:spacing w:before="0" w:beforeAutospacing="0" w:after="0" w:afterAutospacing="0" w:line="240" w:lineRule="auto"/>
        <w:rPr>
          <w:rFonts w:ascii="Tinos" w:hAnsi="Tinos" w:cs="Tinos"/>
          <w:sz w:val="20"/>
          <w:szCs w:val="20"/>
          <w:highlight w:val="cyan"/>
        </w:rPr>
      </w:pPr>
      <w:r>
        <w:rPr>
          <w:rFonts w:ascii="Tinos" w:hAnsi="Tinos" w:eastAsia="Tinos" w:cs="Tinos"/>
          <w:sz w:val="20"/>
          <w:szCs w:val="20"/>
          <w:highlight w:val="cyan"/>
          <w:lang w:val="ru-RU"/>
        </w:rPr>
      </w:r>
      <w:r>
        <w:rPr>
          <w:rFonts w:ascii="Tinos" w:hAnsi="Tinos" w:cs="Tinos"/>
          <w:sz w:val="20"/>
          <w:szCs w:val="20"/>
          <w:highlight w:val="cyan"/>
        </w:rPr>
      </w:r>
      <w:r>
        <w:rPr>
          <w:rFonts w:ascii="Tinos" w:hAnsi="Tinos" w:cs="Tinos"/>
          <w:sz w:val="20"/>
          <w:szCs w:val="20"/>
          <w:highlight w:val="cyan"/>
        </w:rPr>
      </w:r>
    </w:p>
    <w:p>
      <w:pPr>
        <w:pStyle w:val="1003"/>
        <w:numPr>
          <w:ilvl w:val="1"/>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Проведение КЕГЭ в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Вход участников экзамена в аудиторию</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Ответственный организатор при входе участников экзамена в аудиторию должен</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сверить данные документа, у</w:t>
      </w:r>
      <w:r>
        <w:rPr>
          <w:rFonts w:ascii="Tinos" w:hAnsi="Tinos" w:eastAsia="Tinos" w:cs="Tinos"/>
          <w:sz w:val="28"/>
          <w:szCs w:val="28"/>
          <w:highlight w:val="none"/>
          <w:lang w:val="ru-RU"/>
        </w:rPr>
        <w:t xml:space="preserve">достоверяющего личность участника экзамена, с данными в форме ППЭ-05-02-К. В случае расхождения персональных данных участника экзамена в документе, удостоверяющем личность, с данными в форме ППЭ-05-02-К ответственный организатор заполняет форму ППЭ 12-02.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Если расхождение персональных данных не является опечаткой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w:t>
      </w:r>
      <w:r>
        <w:rPr>
          <w:rFonts w:ascii="Tinos" w:hAnsi="Tinos" w:eastAsia="Tinos" w:cs="Tinos"/>
          <w:sz w:val="28"/>
          <w:szCs w:val="28"/>
          <w:highlight w:val="none"/>
          <w:lang w:val="ru-RU"/>
        </w:rPr>
        <w:t xml:space="preserve">выданных паспортов. 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их копирования в Штабе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Выдача ЭМ</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позднее 09 часов 45 минут ответственный организатор в Штабе ППЭ принимает у руководителя ППЭ ЭМ: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КЕГЭ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w:t>
      </w:r>
      <w:r>
        <w:rPr>
          <w:rFonts w:ascii="Tinos" w:hAnsi="Tinos" w:eastAsia="Tinos" w:cs="Tinos"/>
          <w:sz w:val="28"/>
          <w:szCs w:val="28"/>
          <w:highlight w:val="none"/>
          <w:lang w:val="ru-RU"/>
        </w:rPr>
        <w:t xml:space="preserve">о! Черновики КЕГЭ выдаются участникам экзамена вместе с бланками регистрации, черновики выдаются только во время экзамена по запросу участников экзамена – в случае если им не хватит места для записей в черновике КЕГЭ (включая оборотные стороны его листов).</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 начала экзамена организатор в аудитории должен: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инструктаж участников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Инструктаж состоит из двух частей.</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Первая часть инструктажа проводится с 9 часов 50 минут </w:t>
      </w:r>
      <w:r>
        <w:rPr>
          <w:rFonts w:ascii="Tinos" w:hAnsi="Tinos" w:eastAsia="Tinos" w:cs="Tinos"/>
          <w:sz w:val="28"/>
          <w:szCs w:val="28"/>
          <w:highlight w:val="none"/>
          <w:lang w:val="ru-RU"/>
        </w:rPr>
        <w:t xml:space="preserve">включает в себя информирование участников экзамена о порядке проведения экзамена, об основаниях для удаления из ППЭ, о процедуре досроч</w:t>
      </w:r>
      <w:r>
        <w:rPr>
          <w:rFonts w:ascii="Tinos" w:hAnsi="Tinos" w:eastAsia="Tinos" w:cs="Tinos"/>
          <w:sz w:val="28"/>
          <w:szCs w:val="28"/>
          <w:highlight w:val="none"/>
          <w:lang w:val="ru-RU"/>
        </w:rPr>
        <w:t xml:space="preserve">ного завершения экзамена по объективным причинам, правилах заполнения бланков, продолжительности экзамена, порядке и сроках подачи апелляций о нарушении Порядка и о несогласии с выставленными баллами, времени и месте ознакомления с результатами экзамена, а</w:t>
      </w:r>
      <w:r>
        <w:rPr>
          <w:rFonts w:ascii="Tinos" w:hAnsi="Tinos" w:eastAsia="Tinos" w:cs="Tinos"/>
          <w:sz w:val="28"/>
          <w:szCs w:val="28"/>
          <w:highlight w:val="none"/>
          <w:lang w:val="ru-RU"/>
        </w:rPr>
        <w:t xml:space="preserve"> также о рекомендации соблюдать гигиенические требования при работе за компьютером. Также участники экзамена </w:t>
      </w:r>
      <w:r>
        <w:rPr>
          <w:rFonts w:ascii="Tinos" w:hAnsi="Tinos" w:eastAsia="Tinos" w:cs="Tinos"/>
          <w:sz w:val="28"/>
          <w:szCs w:val="28"/>
          <w:highlight w:val="none"/>
          <w:lang w:val="ru-RU"/>
        </w:rPr>
        <w:t xml:space="preserve">ознакамливаются</w:t>
      </w:r>
      <w:r>
        <w:rPr>
          <w:rFonts w:ascii="Tinos" w:hAnsi="Tinos" w:eastAsia="Tinos" w:cs="Tinos"/>
          <w:sz w:val="28"/>
          <w:szCs w:val="28"/>
          <w:highlight w:val="none"/>
          <w:lang w:val="ru-RU"/>
        </w:rPr>
        <w:t xml:space="preserve"> с инструкцией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и с приложением к паспорту станции КЕГЭ.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w:t>
      </w:r>
      <w:r>
        <w:rPr>
          <w:rFonts w:ascii="Tinos" w:hAnsi="Tinos" w:eastAsia="Tinos" w:cs="Tinos"/>
          <w:sz w:val="28"/>
          <w:szCs w:val="28"/>
          <w:highlight w:val="none"/>
          <w:lang w:val="ru-RU"/>
        </w:rPr>
        <w:t xml:space="preserve">е р</w:t>
      </w:r>
      <w:r>
        <w:rPr>
          <w:rFonts w:ascii="Tinos" w:hAnsi="Tinos" w:eastAsia="Tinos" w:cs="Tinos"/>
          <w:sz w:val="28"/>
          <w:szCs w:val="28"/>
          <w:highlight w:val="none"/>
          <w:lang w:val="ru-RU"/>
        </w:rPr>
        <w:t xml:space="preserve">анее 10 часов 00 минут </w:t>
      </w:r>
      <w:r>
        <w:rPr>
          <w:rFonts w:ascii="Tinos" w:hAnsi="Tinos" w:eastAsia="Tinos" w:cs="Tinos"/>
          <w:sz w:val="28"/>
          <w:szCs w:val="28"/>
          <w:highlight w:val="none"/>
          <w:lang w:val="ru-RU"/>
        </w:rPr>
        <w:t xml:space="preserve">организатор в аудитории, ответственный за печать бланков регистрации, информирует уч</w:t>
      </w:r>
      <w:r>
        <w:rPr>
          <w:rFonts w:ascii="Tinos" w:hAnsi="Tinos" w:eastAsia="Tinos" w:cs="Tinos"/>
          <w:sz w:val="28"/>
          <w:szCs w:val="28"/>
          <w:highlight w:val="none"/>
          <w:lang w:val="ru-RU"/>
        </w:rPr>
        <w:t xml:space="preserve">астников экзамена о том, что ЭМ были доставлены по сети «Интернет» в зашифрованном виде и о процедуре печати бланков регистрации в аудитории, вводит количество бланков регистрации для печати, равное количеству участников экзамена, фактически присутствующих</w:t>
      </w:r>
      <w:r>
        <w:rPr>
          <w:rStyle w:val="1000"/>
          <w:rFonts w:ascii="Tinos" w:hAnsi="Tinos" w:eastAsia="Tinos" w:cs="Tinos"/>
          <w:sz w:val="28"/>
          <w:szCs w:val="28"/>
          <w:highlight w:val="none"/>
          <w:lang w:val="ru-RU"/>
        </w:rPr>
        <w:footnoteReference w:id="8"/>
      </w:r>
      <w:r>
        <w:rPr>
          <w:rFonts w:ascii="Tinos" w:hAnsi="Tinos" w:eastAsia="Tinos" w:cs="Tinos"/>
          <w:sz w:val="28"/>
          <w:szCs w:val="28"/>
          <w:highlight w:val="none"/>
          <w:lang w:val="ru-RU"/>
        </w:rPr>
        <w:t xml:space="preserve"> в данной аудитории, и запускает процедуру расшифровки бланков регистрации (процедура расшифровки</w:t>
      </w:r>
      <w:r>
        <w:rPr>
          <w:rFonts w:ascii="Tinos" w:hAnsi="Tinos" w:eastAsia="Tinos" w:cs="Tinos"/>
          <w:sz w:val="28"/>
          <w:szCs w:val="28"/>
          <w:highlight w:val="none"/>
          <w:lang w:val="ru-RU"/>
        </w:rPr>
        <w:t xml:space="preserve"> может быть инициирована, если техническим специалистом ППЭ и членом ГЭК ранее был загружен и активирован ключ доступа к ЭМ), выполняет печать бланков регистрации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 в аудитории, ответственный за печать бланков регистрации, выполняет печать бланков регистрации, загруженных ранее на станцию организатора;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 ответственный за проверку качества бланков регистрации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проверяет качество печати бланка регистрации: отсутствие белых и темных полос, текст хорошо читаем и четко пропечатан, черные квадраты (реперы), </w:t>
      </w:r>
      <w:r>
        <w:rPr>
          <w:rFonts w:ascii="Tinos" w:hAnsi="Tinos" w:eastAsia="Tinos" w:cs="Tinos"/>
          <w:sz w:val="28"/>
          <w:szCs w:val="28"/>
          <w:highlight w:val="none"/>
          <w:lang w:val="ru-RU"/>
        </w:rPr>
        <w:t xml:space="preserve">штрихкоды</w:t>
      </w:r>
      <w:r>
        <w:rPr>
          <w:rFonts w:ascii="Tinos" w:hAnsi="Tinos" w:eastAsia="Tinos" w:cs="Tinos"/>
          <w:sz w:val="28"/>
          <w:szCs w:val="28"/>
          <w:highlight w:val="none"/>
          <w:lang w:val="ru-RU"/>
        </w:rPr>
        <w:t xml:space="preserve">, QR-код и знакоместа на бланках четко видны;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проверки сообщает результат организатору, ответственному за печать, для подтверждения качества печати в программном обеспечении. Качественные бланки регистрации размещаются на столе для выдачи участникам экзамена, некачественные откладываются.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Напечатанные бланки регистрации раздаются участникам экзамена в аудитории в произвольном порядке. Вместе с бланками раздаются черновики КЕГЭ.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сбоя в работе станции организатора член ГЭК или организатор в аудитории приглашают технического специалиста ППЭ для восстановления </w:t>
      </w:r>
      <w:r>
        <w:rPr>
          <w:rFonts w:ascii="Tinos" w:hAnsi="Tinos" w:eastAsia="Tinos" w:cs="Tinos"/>
          <w:sz w:val="28"/>
          <w:szCs w:val="28"/>
          <w:highlight w:val="none"/>
          <w:lang w:val="ru-RU"/>
        </w:rPr>
        <w:t xml:space="preserve">работоспособности</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оборудования и (или) системного ПО и (или) станции </w:t>
      </w:r>
      <w:r>
        <w:rPr>
          <w:rFonts w:ascii="Tinos" w:hAnsi="Tinos" w:eastAsia="Tinos" w:cs="Tinos"/>
          <w:sz w:val="28"/>
          <w:szCs w:val="28"/>
          <w:highlight w:val="none"/>
          <w:lang w:val="ru-RU"/>
        </w:rPr>
        <w:t xml:space="preserve">организатора. При необходимости станция организатора заменяется на </w:t>
      </w:r>
      <w:r>
        <w:rPr>
          <w:rFonts w:ascii="Tinos" w:hAnsi="Tinos" w:eastAsia="Tinos" w:cs="Tinos"/>
          <w:sz w:val="28"/>
          <w:szCs w:val="28"/>
          <w:highlight w:val="none"/>
          <w:lang w:val="ru-RU"/>
        </w:rPr>
        <w:t xml:space="preserve">резервную</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Далее начинается вторая часть инструктажа, при проведении которой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организатору, ответственному за расшифровку КИМ на станциях КЕГЭ:</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 запустить процедуру расшифровки КИМ на каждой станции КЕГЭ нажатием на кнопку «Прочитать КИМ» (процедура расшифровки может быть инициирована, если техническим специалистом ППЭ и членом ГЭК ранее был загружен и активирован ключ доступа к ЭМ);</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расшифровки убедиться, что станция КЕГЭ перешла на страницу ввода номера бланка регистрации. Допустимо данное действие начать выполнять во время выдачи бланков регистрации другим организатором;</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организатору, ответственному за проведение инструктажа: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дать указание участникам экзамена проверить качество напечатанного бланка регистрации (действия в случае выявления </w:t>
      </w:r>
      <w:r>
        <w:rPr>
          <w:rFonts w:ascii="Tinos" w:hAnsi="Tinos" w:eastAsia="Tinos" w:cs="Tinos"/>
          <w:sz w:val="28"/>
          <w:szCs w:val="28"/>
          <w:highlight w:val="none"/>
          <w:lang w:val="ru-RU"/>
        </w:rPr>
        <w:t xml:space="preserve">брака бланка</w:t>
      </w:r>
      <w:r>
        <w:rPr>
          <w:rFonts w:ascii="Tinos" w:hAnsi="Tinos" w:eastAsia="Tinos" w:cs="Tinos"/>
          <w:sz w:val="28"/>
          <w:szCs w:val="28"/>
          <w:highlight w:val="none"/>
          <w:lang w:val="ru-RU"/>
        </w:rPr>
        <w:t xml:space="preserve"> регистрации описаны ниже);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дать указание участникам экзамена приступить к заполнению бланков регистрации (в том числе участник должен поставить свою подпись в соответствующем поле регистрационных полей бланков);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дать указание участникам экзамена внести номер бланка регистрации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экзамена, ознакомиться с инструкцией и перейти на страницу регистрации участника экзамена;</w:t>
      </w:r>
      <w:r>
        <w:rPr>
          <w:rFonts w:ascii="Tinos" w:hAnsi="Tinos" w:eastAsia="Tinos" w:cs="Tinos"/>
          <w:szCs w:val="26"/>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обоим организаторам в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w:t>
      </w:r>
      <w:r>
        <w:rPr>
          <w:rFonts w:ascii="Tinos" w:hAnsi="Tinos" w:eastAsia="Tinos" w:cs="Tinos"/>
          <w:sz w:val="28"/>
          <w:szCs w:val="28"/>
          <w:highlight w:val="none"/>
          <w:lang w:val="ru-RU"/>
        </w:rPr>
        <w:t xml:space="preserve">оверить правильность заполнения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регистрационных полей на бланке регистрации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w:t>
      </w:r>
      <w:r>
        <w:rPr>
          <w:rFonts w:ascii="Tinos" w:hAnsi="Tinos" w:eastAsia="Tinos" w:cs="Tinos"/>
          <w:sz w:val="28"/>
          <w:szCs w:val="28"/>
          <w:highlight w:val="none"/>
          <w:lang w:val="ru-RU"/>
        </w:rPr>
        <w:t xml:space="preserve">обнаружения ошибочного заполнения регистрационных полей бланка регистрации</w:t>
      </w:r>
      <w:r>
        <w:rPr>
          <w:rFonts w:ascii="Tinos" w:hAnsi="Tinos" w:eastAsia="Tinos" w:cs="Tinos"/>
          <w:sz w:val="28"/>
          <w:szCs w:val="28"/>
          <w:highlight w:val="none"/>
          <w:lang w:val="ru-RU"/>
        </w:rPr>
        <w:t xml:space="preserve"> организаторы в аудитории дают указание участнику экзамена внести соответствующие исправления; </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номера бланка регистрации, введенного участником экзамена в ПО для сдачи экзамена с бумажного бланка регистрации.</w:t>
      </w:r>
      <w:r>
        <w:rPr>
          <w:rFonts w:ascii="Tinos" w:hAnsi="Tinos" w:eastAsia="Tinos" w:cs="Tinos"/>
          <w:sz w:val="28"/>
          <w:szCs w:val="28"/>
          <w:highlight w:val="none"/>
          <w:lang w:val="ru-RU"/>
        </w:rPr>
        <w:t xml:space="preserve"> В случае ошибочного заполнения организаторы в аудитории дают указание участнику экзамена внести соответствующие исправления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ПО «Станция КЕГЭ». В случае верного значения подтверждают корректность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ПО для сдачи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организатору, ответственному за проведение инструктажа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после заполнения всеми участниками экзамена бланков регистрации и проверки правильности введенных номеров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ПО для сдачи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указать участникам экзамена на необходимость записывать ответы на экзаменационные задания в соответствующих полях черновика КЕГЭ: в случае замены станции КЕГЭ на резервную во время экзамена потребуется заново ввести все ответы в новую станцию КЕГЭ;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указать участникам экзамена на то, что на их рабочем месте находится приложение к паспорту станции КЕГЭ;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cyan"/>
          <w:lang w:val="ru-RU"/>
        </w:rPr>
        <w:t xml:space="preserve">о</w:t>
      </w:r>
      <w:r>
        <w:rPr>
          <w:rFonts w:ascii="Tinos" w:hAnsi="Tinos" w:eastAsia="Tinos" w:cs="Tinos"/>
          <w:sz w:val="28"/>
          <w:szCs w:val="28"/>
          <w:highlight w:val="none"/>
          <w:lang w:val="ru-RU"/>
        </w:rPr>
        <w:t xml:space="preserve">бъявить и зафиксировать на доске (информационном стенде) код активации экзамена, предварительно выданный руководителем ППЭ;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объявить начало, продолжительность и время окончания выполнения </w:t>
      </w:r>
      <w:r>
        <w:rPr>
          <w:rFonts w:ascii="Tinos" w:hAnsi="Tinos" w:eastAsia="Tinos" w:cs="Tinos"/>
          <w:sz w:val="28"/>
          <w:szCs w:val="28"/>
          <w:highlight w:val="none"/>
          <w:lang w:val="ru-RU"/>
        </w:rPr>
        <w:t xml:space="preserve">экзаменационной работы</w:t>
      </w:r>
      <w:r>
        <w:rPr>
          <w:rFonts w:ascii="Tinos" w:hAnsi="Tinos" w:eastAsia="Tinos" w:cs="Tinos"/>
          <w:sz w:val="28"/>
          <w:szCs w:val="28"/>
          <w:highlight w:val="none"/>
          <w:lang w:val="ru-RU"/>
        </w:rPr>
        <w:t xml:space="preserve"> и зафиксировать их на доске (информационном стенде);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дать указание участникам экзамена ввести код активации экзамена в ПО для сдачи экзамена для начала выполнения </w:t>
      </w:r>
      <w:r>
        <w:rPr>
          <w:rFonts w:ascii="Tinos" w:hAnsi="Tinos" w:eastAsia="Tinos" w:cs="Tinos"/>
          <w:sz w:val="28"/>
          <w:szCs w:val="28"/>
          <w:highlight w:val="none"/>
          <w:lang w:val="ru-RU"/>
        </w:rPr>
        <w:t xml:space="preserve">экзаменационной работы.</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проведения указанных процедур начинается процесс выполнения экзаменационной работы участниками экзамена.</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сле объявления начала экзамена и начала выполнения экзаменационной работы всеми участниками экзамена на станциях КЕГЭ организатор в аудитории сообщает организатору вне аудитории информацию о завершении печати бланков регистрации и успешном начале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Организаторы в аудитории должны проводить контроль выполнения экзаменационной работы участниками экзамена.</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обнаружения участником экзамена </w:t>
      </w:r>
      <w:r>
        <w:rPr>
          <w:rFonts w:ascii="Tinos" w:hAnsi="Tinos" w:eastAsia="Tinos" w:cs="Tinos"/>
          <w:sz w:val="28"/>
          <w:szCs w:val="28"/>
          <w:highlight w:val="none"/>
          <w:lang w:val="ru-RU"/>
        </w:rPr>
        <w:t xml:space="preserve">брака бланка</w:t>
      </w:r>
      <w:r>
        <w:rPr>
          <w:rFonts w:ascii="Tinos" w:hAnsi="Tinos" w:eastAsia="Tinos" w:cs="Tinos"/>
          <w:sz w:val="28"/>
          <w:szCs w:val="28"/>
          <w:highlight w:val="none"/>
          <w:lang w:val="ru-RU"/>
        </w:rPr>
        <w:t xml:space="preserve">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 ответственный за проверку качества распечатанных бланков регистрации, изымает некачественный бланк регистрации и приглашает члена ГЭК для выполнения дополнительной печати бланков 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 ответственный за печать</w:t>
      </w:r>
      <w:r>
        <w:rPr>
          <w:rFonts w:ascii="Tinos" w:hAnsi="Tinos" w:eastAsia="Tinos" w:cs="Tinos"/>
          <w:sz w:val="28"/>
          <w:szCs w:val="28"/>
          <w:highlight w:val="none"/>
          <w:lang w:val="ru-RU"/>
        </w:rPr>
        <w:t xml:space="preserve"> бланков регистрации, средствами станции организатора бракует бланк регистрации и переходит к дополнительной печати бланка регистрации. Аналогичная замена производится в случае порчи бланка регистрации участником экзамена или опоздания участника экзамена. </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ответственный за печать бланков регистрации, приглашает члена ГЭК активировать процедуру дополнительной печати с помощью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члена ГЭК.</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недостатка доступных для печати ЭМ (бланков регистрации) организатор информирует руководителя ППЭ и члена ГЭК (через организатора вне аудитории) о необходимости использования резервных ЭМ, включенных в состав </w:t>
      </w:r>
      <w:r>
        <w:rPr>
          <w:rFonts w:ascii="Tinos" w:hAnsi="Tinos" w:eastAsia="Tinos" w:cs="Tinos"/>
          <w:sz w:val="28"/>
          <w:szCs w:val="28"/>
          <w:highlight w:val="none"/>
          <w:lang w:val="ru-RU"/>
        </w:rPr>
        <w:t xml:space="preserve">интернет-пакета</w:t>
      </w:r>
      <w:r>
        <w:rPr>
          <w:rFonts w:ascii="Tinos" w:hAnsi="Tinos" w:eastAsia="Tinos" w:cs="Tinos"/>
          <w:sz w:val="28"/>
          <w:szCs w:val="28"/>
          <w:highlight w:val="none"/>
          <w:lang w:val="ru-RU"/>
        </w:rPr>
        <w:t xml:space="preserve">, загруженного для проведения экзамена, в этом случае технический специалист совместно с членом ГЭК в Штабе ППЭ в личном кабинете ППЭ запрашивают резервный ключ доступа для резервных ЭМ.</w:t>
      </w:r>
      <w:r>
        <w:rPr>
          <w:rFonts w:ascii="Tinos" w:hAnsi="Tinos" w:eastAsia="Tinos" w:cs="Tinos"/>
          <w:sz w:val="28"/>
          <w:szCs w:val="28"/>
          <w:highlight w:val="none"/>
          <w:lang w:val="ru-RU"/>
        </w:rPr>
        <w:t xml:space="preserve"> Резервный ключ доступа к ЭМ загружается техническим специалистом на станцию организатора и активируется </w:t>
      </w:r>
      <w:r>
        <w:rPr>
          <w:rFonts w:ascii="Tinos" w:hAnsi="Tinos" w:eastAsia="Tinos" w:cs="Tinos"/>
          <w:sz w:val="28"/>
          <w:szCs w:val="28"/>
          <w:highlight w:val="none"/>
          <w:lang w:val="ru-RU"/>
        </w:rPr>
        <w:t xml:space="preserve">токеном</w:t>
      </w:r>
      <w:r>
        <w:rPr>
          <w:rFonts w:ascii="Tinos" w:hAnsi="Tinos" w:eastAsia="Tinos" w:cs="Tinos"/>
          <w:sz w:val="28"/>
          <w:szCs w:val="28"/>
          <w:highlight w:val="none"/>
          <w:lang w:val="ru-RU"/>
        </w:rPr>
        <w:t xml:space="preserve"> члена ГЭК</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После восстановления работоспосо</w:t>
      </w:r>
      <w:r>
        <w:rPr>
          <w:rFonts w:ascii="Tinos" w:hAnsi="Tinos" w:eastAsia="Tinos" w:cs="Tinos"/>
          <w:sz w:val="28"/>
          <w:szCs w:val="28"/>
          <w:highlight w:val="none"/>
          <w:lang w:val="ru-RU"/>
        </w:rPr>
        <w:t xml:space="preserve">бности принтера в следующем напечатанном бланке регистрации необходимо проконтролировать номера бланка, сравнив его с предыдущим. В случае обнаружения повторной печати задублированный бланк регистрации должен быть забракован (откладываются оба экземпляра).</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cyan"/>
          <w:lang w:val="ru-RU"/>
        </w:rPr>
        <w:t xml:space="preserve">В</w:t>
      </w:r>
      <w:r>
        <w:rPr>
          <w:rFonts w:ascii="Tinos" w:hAnsi="Tinos" w:eastAsia="Tinos" w:cs="Tinos"/>
          <w:sz w:val="28"/>
          <w:szCs w:val="28"/>
          <w:highlight w:val="none"/>
          <w:lang w:val="ru-RU"/>
        </w:rPr>
        <w:t xml:space="preserve"> случае возникновения технических сбоев в работе станции К</w:t>
      </w:r>
      <w:r>
        <w:rPr>
          <w:rFonts w:ascii="Tinos" w:hAnsi="Tinos" w:eastAsia="Tinos" w:cs="Tinos"/>
          <w:sz w:val="28"/>
          <w:szCs w:val="28"/>
          <w:highlight w:val="none"/>
          <w:lang w:val="ru-RU"/>
        </w:rPr>
        <w:t xml:space="preserve">ЕГЭ организатор в аудитории (через организатора вне аудитории) приглашает технического специалиста ППЭ для восстановления работоспособности: оборудования, системного ПО, ПО «Станция КЕГЭ», стандартного ПО, предоставляемого участнику для выполнения заданий.</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восстановления работоспособности станции КЕГЭ для продолжения экзамена необходимо участие члена ГЭК: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член ГЭК с использованием </w:t>
      </w:r>
      <w:r>
        <w:rPr>
          <w:rFonts w:ascii="Tinos" w:hAnsi="Tinos" w:eastAsia="Tinos" w:cs="Tinos"/>
          <w:sz w:val="28"/>
          <w:szCs w:val="28"/>
          <w:highlight w:val="none"/>
          <w:lang w:val="ru-RU"/>
        </w:rPr>
        <w:t xml:space="preserve">токена</w:t>
      </w:r>
      <w:r>
        <w:rPr>
          <w:rFonts w:ascii="Tinos" w:hAnsi="Tinos" w:eastAsia="Tinos" w:cs="Tinos"/>
          <w:sz w:val="28"/>
          <w:szCs w:val="28"/>
          <w:highlight w:val="none"/>
          <w:lang w:val="ru-RU"/>
        </w:rPr>
        <w:t xml:space="preserve"> активирует ранее загруженный ключ доступа к ЭМ;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организатор запускает расшифров</w:t>
      </w:r>
      <w:r>
        <w:rPr>
          <w:rFonts w:ascii="Tinos" w:hAnsi="Tinos" w:eastAsia="Tinos" w:cs="Tinos"/>
          <w:sz w:val="28"/>
          <w:szCs w:val="28"/>
          <w:highlight w:val="none"/>
          <w:lang w:val="ru-RU"/>
        </w:rPr>
        <w:t xml:space="preserve">ку КИМ командой «Прочитать КИМ». </w:t>
      </w:r>
      <w:r>
        <w:rPr>
          <w:rFonts w:ascii="Tinos" w:hAnsi="Tinos" w:eastAsia="Tinos" w:cs="Tinos"/>
          <w:sz w:val="28"/>
          <w:szCs w:val="28"/>
          <w:highlight w:val="none"/>
          <w:lang w:val="ru-RU"/>
        </w:rPr>
        <w:t xml:space="preserve">По окончании расшифровки убеждается, что станция КЕГЭ перешла на страницу ввода номера бланка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 странице активации экзамена член ГЭК</w:t>
      </w:r>
      <w:r>
        <w:rPr>
          <w:rFonts w:ascii="Tinos" w:hAnsi="Tinos" w:eastAsia="Tinos" w:cs="Tinos"/>
          <w:sz w:val="28"/>
          <w:szCs w:val="28"/>
          <w:highlight w:val="none"/>
          <w:lang w:val="ru-RU"/>
        </w:rPr>
        <w:t xml:space="preserve"> и организатор в аудитории проверяют, что номер бланка регистрации, отображаемый на экране компьютера (ноутбука), соответствует номеру в бумажном бланке регистрации, и предлагают участнику экзамена ввести код активации и нажать кнопку «Продолжить экзамен».</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Экзамен продолжится, время выполнения экзаменационной работы для участника КЕГЭ не увеличивается, т.к. участник продолжает работу с тем же КИМ КЕГЭ. Время окончания экзамена соответствует тому, что указано на доске (информационном стенде).</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eastAsia="Tinos" w:cs="Tinos"/>
          <w:sz w:val="28"/>
          <w:szCs w:val="28"/>
          <w:highlight w:val="none"/>
          <w14:ligatures w14:val="none"/>
        </w:rPr>
      </w:pPr>
      <w:r>
        <w:rPr>
          <w:rFonts w:ascii="Tinos" w:hAnsi="Tinos" w:eastAsia="Tinos" w:cs="Tinos"/>
          <w:sz w:val="28"/>
          <w:szCs w:val="28"/>
          <w:highlight w:val="none"/>
          <w:lang w:val="ru-RU"/>
        </w:rPr>
        <w:t xml:space="preserve">При необходимости </w:t>
      </w:r>
      <w:r>
        <w:rPr>
          <w:rFonts w:ascii="Tinos" w:hAnsi="Tinos" w:eastAsia="Tinos" w:cs="Tinos"/>
          <w:sz w:val="28"/>
          <w:szCs w:val="28"/>
          <w:highlight w:val="none"/>
          <w:lang w:val="ru-RU"/>
        </w:rPr>
        <w:t xml:space="preserve">Станция КЕГЭ</w:t>
      </w:r>
      <w:r>
        <w:rPr>
          <w:rFonts w:ascii="Tinos" w:hAnsi="Tinos" w:eastAsia="Tinos" w:cs="Tinos"/>
          <w:sz w:val="28"/>
          <w:szCs w:val="28"/>
          <w:highlight w:val="none"/>
          <w:lang w:val="ru-RU"/>
        </w:rPr>
        <w:t xml:space="preserve"> заменяется на </w:t>
      </w:r>
      <w:r>
        <w:rPr>
          <w:rFonts w:ascii="Tinos" w:hAnsi="Tinos" w:eastAsia="Tinos" w:cs="Tinos"/>
          <w:sz w:val="28"/>
          <w:szCs w:val="28"/>
          <w:highlight w:val="none"/>
          <w:lang w:val="ru-RU"/>
        </w:rPr>
        <w:t xml:space="preserve">резервную</w:t>
      </w:r>
      <w:r>
        <w:rPr>
          <w:rFonts w:ascii="Tinos" w:hAnsi="Tinos" w:eastAsia="Tinos" w:cs="Tinos"/>
          <w:sz w:val="28"/>
          <w:szCs w:val="28"/>
          <w:highlight w:val="none"/>
          <w:lang w:val="ru-RU"/>
        </w:rPr>
        <w:t xml:space="preserve">. Выполнение экзаменационной работы участником экзамена осуществляется с </w:t>
      </w:r>
      <w:r>
        <w:rPr>
          <w:rFonts w:ascii="Tinos" w:hAnsi="Tinos" w:eastAsia="Tinos" w:cs="Tinos"/>
          <w:sz w:val="28"/>
          <w:szCs w:val="28"/>
          <w:highlight w:val="none"/>
          <w:u w:val="single"/>
          <w:lang w:val="ru-RU"/>
        </w:rPr>
        <w:t xml:space="preserve">тем же бланком</w:t>
      </w:r>
      <w:r>
        <w:rPr>
          <w:rFonts w:ascii="Tinos" w:hAnsi="Tinos" w:eastAsia="Tinos" w:cs="Tinos"/>
          <w:sz w:val="28"/>
          <w:szCs w:val="28"/>
          <w:highlight w:val="none"/>
          <w:lang w:val="ru-RU"/>
        </w:rPr>
        <w:t xml:space="preserve"> </w:t>
      </w:r>
      <w:r>
        <w:rPr>
          <w:rFonts w:ascii="Tinos" w:hAnsi="Tinos" w:eastAsia="Tinos" w:cs="Tinos"/>
          <w:sz w:val="28"/>
          <w:szCs w:val="28"/>
          <w:highlight w:val="none"/>
          <w:u w:val="single"/>
          <w:lang w:val="ru-RU"/>
        </w:rPr>
        <w:t xml:space="preserve">регистрации (следовательно, и с тем </w:t>
      </w:r>
      <w:r>
        <w:rPr>
          <w:rFonts w:ascii="Tinos" w:hAnsi="Tinos" w:eastAsia="Tinos" w:cs="Tinos"/>
          <w:sz w:val="28"/>
          <w:szCs w:val="28"/>
          <w:highlight w:val="none"/>
          <w:u w:val="single"/>
          <w:lang w:val="ru-RU"/>
        </w:rPr>
        <w:t xml:space="preserve">же КИМ КЕГЭ), </w:t>
      </w:r>
      <w:r>
        <w:rPr>
          <w:rFonts w:ascii="Tinos" w:hAnsi="Tinos" w:eastAsia="Tinos" w:cs="Tinos"/>
          <w:sz w:val="28"/>
          <w:szCs w:val="28"/>
          <w:highlight w:val="none"/>
          <w:lang w:val="ru-RU"/>
        </w:rPr>
        <w:t xml:space="preserve">время экзамена для участника экзамена не продлевается. Член ГЭК и организатор в аудитории информируют участника экзамена о необходимости повторного ввода ответов на задания, которые были выполнены на вышедшей из строя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Организатор в аудитории ставит соответствующую метку в поле «Замена станции КЕГЭ» в форме </w:t>
        <w:br/>
        <w:t xml:space="preserve">ППЭ-05-02-К. Вышедшая из строя станция КЕГЭ остаётся в аудитории в зоне видимости камер видеонаблюдения до окончания экзамена.</w:t>
      </w:r>
      <w:r>
        <w:rPr>
          <w:rFonts w:ascii="Tinos" w:hAnsi="Tinos" w:eastAsia="Tinos" w:cs="Tinos"/>
          <w:sz w:val="28"/>
          <w:szCs w:val="28"/>
          <w:highlight w:val="none"/>
          <w14:ligatures w14:val="none"/>
        </w:rPr>
      </w:r>
      <w:r>
        <w:rPr>
          <w:rFonts w:ascii="Tinos" w:hAnsi="Tinos" w:eastAsia="Tinos" w:cs="Tinos"/>
          <w:sz w:val="28"/>
          <w:szCs w:val="28"/>
          <w:highlight w:val="none"/>
          <w14:ligatures w14: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w:t>
      </w:r>
      <w:r>
        <w:rPr>
          <w:rFonts w:ascii="Tinos" w:hAnsi="Tinos" w:eastAsia="Tinos" w:cs="Tinos"/>
          <w:sz w:val="28"/>
          <w:szCs w:val="28"/>
          <w:highlight w:val="none"/>
          <w:lang w:val="ru-RU"/>
        </w:rPr>
        <w:t xml:space="preserve">выбору</w:t>
      </w:r>
      <w:r>
        <w:rPr>
          <w:rFonts w:ascii="Tinos" w:hAnsi="Tinos" w:eastAsia="Tinos" w:cs="Tinos"/>
          <w:sz w:val="28"/>
          <w:szCs w:val="28"/>
          <w:highlight w:val="none"/>
          <w:lang w:val="ru-RU"/>
        </w:rPr>
        <w:t xml:space="preserve"> участника КЕГЭ возможно завершение экзаменационной работы досрочно по объективным причинам с возможностью повторного прохождения экзамена в резервные сроки соответствующего периода проведения экзаменов (участнику предоставляется новый КИМ КЕГЭ).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данном</w:t>
      </w:r>
      <w:r>
        <w:rPr>
          <w:rFonts w:ascii="Tinos" w:hAnsi="Tinos" w:eastAsia="Tinos" w:cs="Tinos"/>
          <w:sz w:val="28"/>
          <w:szCs w:val="28"/>
          <w:highlight w:val="none"/>
          <w:lang w:val="ru-RU"/>
        </w:rPr>
        <w:t xml:space="preserve"> случае принимается решение, что участник экзамена не завершил экзамен по объективным причинам с оформлением соответствующего акта (форма ППЭ-22 и по решению председателя ГЭК допускается к экзамену по информатике в резервные сроки соответствующего периода.</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Начало выполнения экзаменацион</w:t>
      </w:r>
      <w:r>
        <w:rPr>
          <w:rFonts w:ascii="Tinos" w:hAnsi="Tinos" w:eastAsia="Tinos" w:cs="Tinos"/>
          <w:sz w:val="28"/>
          <w:szCs w:val="28"/>
          <w:highlight w:val="none"/>
          <w:lang w:val="ru-RU"/>
        </w:rPr>
        <w:t xml:space="preserve">ной работы</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Участники экзамена приступают к выполнению экзаменационной работы.</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Во время выполнения экзаменационной работы участниками экзамена организатор в аудитории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допускать переписывания участниками экзамена заданий КИМ в черновики КЕГЭ, черновики;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допускать выноса из аудиторий инструкций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приложений к паспорту 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 черновиков КЕГЭ, черновиков, бланков регистрации, письменных принадлежностей, письменных заметок и иных средств хранения и передачи информации;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 допускать фотографирования ЭМ и черновиков КЕГЭ, черновиков участниками экзамена, а также организаторами или техническими специалистами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Участникам КЕГЭ подробно разъясняются пра</w:t>
      </w:r>
      <w:r>
        <w:rPr>
          <w:rFonts w:ascii="Tinos" w:hAnsi="Tinos" w:eastAsia="Tinos" w:cs="Tinos"/>
          <w:sz w:val="28"/>
          <w:szCs w:val="28"/>
          <w:highlight w:val="none"/>
          <w:lang w:val="ru-RU"/>
        </w:rPr>
        <w:t xml:space="preserve">вила работы за компьютером (ноутбуком), в том числе необходимость периодически делать перерывы в работе непосредственно с монитором. Во время таких перерывов участники КЕГЭ могут продолжить работать над решением экзаменационных заданий, используя черновик </w:t>
      </w:r>
      <w:r>
        <w:rPr>
          <w:rFonts w:ascii="Tinos" w:hAnsi="Tinos" w:eastAsia="Tinos" w:cs="Tinos"/>
          <w:sz w:val="28"/>
          <w:szCs w:val="28"/>
          <w:highlight w:val="none"/>
          <w:lang w:val="ru-RU"/>
        </w:rPr>
        <w:t xml:space="preserve">КЕГЭ или черновики. Также участники КЕГЭ могут выполнять известные им упражнения для глаз. </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Рекомендуется первый такой перерыв сделать не позднее чем через полчаса после начала работы за компьютером (ноутбуком), далее через каждые 20 минут. Решение о времени начала и окончания перерыва участник КЕГЭ принимает самостоятельно. </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не должен препятствовать использованию участниками экзамена программы </w:t>
      </w:r>
      <w:r>
        <w:rPr>
          <w:rFonts w:ascii="Tinos" w:hAnsi="Tinos" w:eastAsia="Tinos" w:cs="Tinos"/>
          <w:sz w:val="28"/>
          <w:szCs w:val="28"/>
          <w:highlight w:val="none"/>
          <w:lang w:val="ru-RU"/>
        </w:rPr>
        <w:t xml:space="preserve">Microsoft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Windows</w:t>
      </w:r>
      <w:r>
        <w:rPr>
          <w:rFonts w:ascii="Tinos" w:hAnsi="Tinos" w:eastAsia="Tinos" w:cs="Tinos"/>
          <w:sz w:val="28"/>
          <w:szCs w:val="28"/>
          <w:highlight w:val="none"/>
          <w:lang w:val="ru-RU"/>
        </w:rPr>
        <w:t xml:space="preserve"> «Калькулятор», предназначенной для выполнения вычислительных операций, а также графического редактора </w:t>
      </w:r>
      <w:r>
        <w:rPr>
          <w:rFonts w:ascii="Tinos" w:hAnsi="Tinos" w:eastAsia="Tinos" w:cs="Tinos"/>
          <w:sz w:val="28"/>
          <w:szCs w:val="28"/>
          <w:highlight w:val="none"/>
          <w:lang w:val="ru-RU"/>
        </w:rPr>
        <w:t xml:space="preserve">Microsoft</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Paint</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если участник экзамена предъявил претенз</w:t>
      </w:r>
      <w:r>
        <w:rPr>
          <w:rFonts w:ascii="Tinos" w:hAnsi="Tinos" w:eastAsia="Tinos" w:cs="Tinos"/>
          <w:sz w:val="28"/>
          <w:szCs w:val="28"/>
          <w:highlight w:val="none"/>
          <w:lang w:val="ru-RU"/>
        </w:rPr>
        <w:t xml:space="preserve">ию по содержанию задания КИМ КЕГЭ,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номере задания и содержании замечания).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выходе участника экзамена из аудитории необходимо проверить оставленные им на рабочем столе бланк регистрации, черновики (если выдавались), приложение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комплектность черновика КЕГЭ и </w:t>
      </w: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Случаи удаления с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установлении факта наличия у участников экзамена сре</w:t>
      </w:r>
      <w:r>
        <w:rPr>
          <w:rFonts w:ascii="Tinos" w:hAnsi="Tinos" w:eastAsia="Tinos" w:cs="Tinos"/>
          <w:sz w:val="28"/>
          <w:szCs w:val="28"/>
          <w:highlight w:val="none"/>
          <w:lang w:val="ru-RU"/>
        </w:rPr>
        <w:t xml:space="preserve">дств св</w:t>
      </w:r>
      <w:r>
        <w:rPr>
          <w:rFonts w:ascii="Tinos" w:hAnsi="Tinos" w:eastAsia="Tinos" w:cs="Tinos"/>
          <w:sz w:val="28"/>
          <w:szCs w:val="28"/>
          <w:highlight w:val="none"/>
          <w:lang w:val="ru-RU"/>
        </w:rPr>
        <w:t xml:space="preserve">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Порядка такие участники удаляются с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этом случае ответственный организатор совместно с членом (членами) ГЭК, руководителем ППЭ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форму ППЭ-21 в Штабе ППЭ в зоне видимости камер видеонаблюдения;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завершить экзамен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нажав кнопку «Завершить экзамен» и пройдя далее до получения на экране контрольной суммы</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(страница «Формирование протокола ответов участника КЕГЭ»)</w:t>
      </w:r>
      <w:r>
        <w:rPr>
          <w:rFonts w:ascii="Tinos" w:hAnsi="Tinos" w:eastAsia="Tinos" w:cs="Tinos"/>
          <w:sz w:val="28"/>
          <w:szCs w:val="28"/>
          <w:highlight w:val="none"/>
          <w:lang w:val="ru-RU"/>
        </w:rPr>
        <w:t xml:space="preserve">. Дальнейшие действия выполнит технический специалист после завершения экзамена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переписать в соответствующее поле бланка регистрации этого участника экзамена контрольную сумму, автоматически сформированную </w:t>
      </w:r>
      <w:r>
        <w:rPr>
          <w:rFonts w:ascii="Tinos" w:hAnsi="Tinos" w:eastAsia="Tinos" w:cs="Tinos"/>
          <w:sz w:val="28"/>
          <w:szCs w:val="28"/>
          <w:highlight w:val="none"/>
          <w:lang w:val="ru-RU"/>
        </w:rPr>
        <w:t xml:space="preserve">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поставить в поле «Удален с экзамена в связи с нарушением порядка проведения ЕГЭ» соответствующую отметку и поставить свою подпись в соответствующем поле;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ППЭ внести соответствующую запись в форму ППЭ-05-02-К и переписать контрольную сумму с бланка регистрации в соответствующее поле.</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Рекомендуется продемонстрировать на камер</w:t>
      </w:r>
      <w:r>
        <w:rPr>
          <w:rFonts w:ascii="Tinos" w:hAnsi="Tinos" w:eastAsia="Tinos" w:cs="Tinos"/>
          <w:sz w:val="28"/>
          <w:szCs w:val="28"/>
          <w:highlight w:val="none"/>
          <w:lang w:val="ru-RU"/>
        </w:rPr>
        <w:t xml:space="preserve">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экзамена. На камеру проговорить, какой </w:t>
      </w:r>
      <w:r>
        <w:rPr>
          <w:rFonts w:ascii="Tinos" w:hAnsi="Tinos" w:eastAsia="Tinos" w:cs="Tinos"/>
          <w:sz w:val="28"/>
          <w:szCs w:val="28"/>
          <w:highlight w:val="none"/>
          <w:lang w:val="ru-RU"/>
        </w:rPr>
        <w:t xml:space="preserve">именно предмет обнаружен и его содержание (в случае обнаружения письменных заметок).</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если участник экзамена по состоянию здоровья или другим объективным причинам не может завершить выполнение экзаменационной работы, он может покинуть </w:t>
      </w:r>
      <w:r>
        <w:rPr>
          <w:rFonts w:ascii="Tinos" w:hAnsi="Tinos" w:eastAsia="Tinos" w:cs="Tinos"/>
          <w:sz w:val="28"/>
          <w:szCs w:val="28"/>
          <w:highlight w:val="none"/>
          <w:lang w:val="ru-RU"/>
        </w:rPr>
        <w:t xml:space="preserve">ППЭ</w:t>
      </w:r>
      <w:r>
        <w:rPr>
          <w:rFonts w:ascii="Tinos" w:hAnsi="Tinos" w:eastAsia="Tinos" w:cs="Tinos"/>
          <w:sz w:val="28"/>
          <w:szCs w:val="28"/>
          <w:highlight w:val="none"/>
          <w:lang w:val="ru-RU"/>
        </w:rPr>
        <w:t xml:space="preserve">. Ответственный организатор должен пригласить организатора вне аудитории, который сопроводит такого участника экзамена к медицинскому работнику и пригласит члена (членов) ГЭК</w:t>
      </w:r>
      <w:r>
        <w:rPr>
          <w:rFonts w:ascii="Tinos" w:hAnsi="Tinos" w:eastAsia="Tinos" w:cs="Tinos"/>
          <w:sz w:val="28"/>
          <w:szCs w:val="28"/>
          <w:highlight w:val="none"/>
          <w:lang w:val="ru-RU"/>
        </w:rPr>
        <w:t xml:space="preserve"> в медицинский кабинет. В случае согласия участника экзамена досрочно завершить экзамен заполняется форма ППЭ-22 в медицинском кабинете членом ГЭК и медицинским работником. Ответственный организатор и руководитель ППЭ ставят свою подпись в указанном акте. </w:t>
      </w:r>
      <w:r>
        <w:rPr>
          <w:rFonts w:ascii="Tinos" w:hAnsi="Tinos" w:cs="Tinos"/>
          <w:sz w:val="28"/>
          <w:szCs w:val="28"/>
          <w:highlight w:val="none"/>
        </w:rPr>
      </w:r>
      <w:r>
        <w:rPr>
          <w:rFonts w:ascii="Tinos" w:hAnsi="Tinos" w:cs="Tinos"/>
          <w:sz w:val="28"/>
          <w:szCs w:val="28"/>
          <w:highlight w:val="none"/>
        </w:rPr>
      </w:r>
    </w:p>
    <w:p>
      <w:pPr>
        <w:pStyle w:val="1003"/>
        <w:ind w:left="709" w:right="0" w:firstLine="0"/>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Ответственный организатор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завершить экзамен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нажав кнопку «Завершить экзамен» и пройдя далее до получения на экране контрольной суммы</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(окно «Формирование протокола ответов участника КЕГЭ»)</w:t>
      </w:r>
      <w:r>
        <w:rPr>
          <w:rFonts w:ascii="Tinos" w:hAnsi="Tinos" w:eastAsia="Tinos" w:cs="Tinos"/>
          <w:sz w:val="28"/>
          <w:szCs w:val="28"/>
          <w:highlight w:val="none"/>
          <w:lang w:val="ru-RU"/>
        </w:rPr>
        <w:t xml:space="preserve">. Дальнейшие действия выполнит технический специалист после завершения экзамена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переписать в соответствующее поле бланка регистрации этого участника экзамена контрольную сумму, автоматически сформированную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поставить соответствующую отметку в поле «Не завершил экзамен по уважительной причине» и поставить свою подпись в соответствующем поле;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аудитории внести соответствую</w:t>
      </w:r>
      <w:r>
        <w:rPr>
          <w:rFonts w:ascii="Tinos" w:hAnsi="Tinos" w:eastAsia="Tinos" w:cs="Tinos"/>
          <w:sz w:val="28"/>
          <w:szCs w:val="28"/>
          <w:highlight w:val="none"/>
          <w:lang w:val="ru-RU"/>
        </w:rPr>
        <w:t xml:space="preserve">щую запись в форму ППЭ-05-02-К</w:t>
      </w:r>
      <w:r>
        <w:rPr>
          <w:rFonts w:ascii="Tinos" w:hAnsi="Tinos" w:eastAsia="Tinos" w:cs="Tinos"/>
          <w:sz w:val="28"/>
          <w:szCs w:val="28"/>
          <w:highlight w:val="none"/>
          <w:lang w:val="ru-RU"/>
        </w:rPr>
        <w:t xml:space="preserve">, в том числе переписав контрольную сумму с бланка регистрации в соответствующее поле.</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Завершение выполнения экзаменационной работы участниками экзамена и организация сбора ЭМ.</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Участник экзамена, завершивший выполнение экзаменационной работы, может покинуть ППЭ. </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Организатору в аудитории необходимо:</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принять у него бланк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highlight w:val="none"/>
        </w:rPr>
      </w:pPr>
      <w:r>
        <w:rPr>
          <w:rFonts w:ascii="Tinos" w:hAnsi="Tinos" w:eastAsia="Tinos" w:cs="Tinos"/>
          <w:sz w:val="28"/>
          <w:szCs w:val="28"/>
          <w:highlight w:val="none"/>
          <w:lang w:val="ru-RU"/>
        </w:rPr>
        <w:t xml:space="preserve">проверить</w:t>
      </w:r>
      <w:r>
        <w:rPr>
          <w:rFonts w:ascii="Tinos" w:hAnsi="Tinos" w:eastAsia="Tinos" w:cs="Tinos"/>
          <w:sz w:val="28"/>
          <w:szCs w:val="28"/>
          <w:highlight w:val="none"/>
          <w:lang w:val="ru-RU"/>
        </w:rPr>
        <w:t xml:space="preserve">, что на станции </w:t>
      </w:r>
      <w:r>
        <w:rPr>
          <w:rFonts w:ascii="Tinos" w:hAnsi="Tinos" w:eastAsia="Tinos" w:cs="Tinos"/>
          <w:sz w:val="28"/>
          <w:szCs w:val="28"/>
          <w:highlight w:val="none"/>
          <w:lang w:val="ru-RU"/>
        </w:rPr>
        <w:t xml:space="preserve">КЕГЭ участника экзамена отображается окно «Экзамен закончен», а также проверить</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правильность переноса контрольной суммы и подтвердить данное действие своей</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подписью на бланке регистрации участника в специально отведённом поле</w:t>
      </w:r>
      <w:r>
        <w:rPr>
          <w:highlight w:val="none"/>
        </w:rPr>
        <w:t xml:space="preserve"> </w:t>
      </w:r>
      <w:r>
        <w:rPr>
          <w:rFonts w:ascii="Tinos" w:hAnsi="Tinos" w:eastAsia="Tinos" w:cs="Tinos"/>
          <w:sz w:val="28"/>
          <w:szCs w:val="28"/>
          <w:highlight w:val="none"/>
          <w:lang w:val="ru-RU"/>
        </w:rPr>
        <w:t xml:space="preserve">также принять:</w:t>
      </w:r>
      <w:r>
        <w:rPr>
          <w:rFonts w:ascii="Tinos" w:hAnsi="Tinos" w:eastAsia="Tinos" w:cs="Tinos"/>
          <w:sz w:val="28"/>
          <w:szCs w:val="28"/>
          <w:highlight w:val="none"/>
          <w:lang w:val="ru-RU"/>
        </w:rPr>
      </w:r>
      <w:r>
        <w:rPr>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cyan"/>
          <w:lang w:val="ru-RU"/>
        </w:rPr>
        <w:t xml:space="preserve"> </w:t>
      </w:r>
      <w:r>
        <w:rPr>
          <w:rFonts w:ascii="Tinos" w:hAnsi="Tinos" w:eastAsia="Tinos" w:cs="Tinos"/>
          <w:sz w:val="28"/>
          <w:szCs w:val="28"/>
          <w:highlight w:val="none"/>
          <w:lang w:val="ru-RU"/>
        </w:rPr>
        <w:t xml:space="preserve">черновик КЕГЭ;</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(если выдавались);</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инструкцию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приложение к паспорту станции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перенести в форму ППЭ-05-02-К контрольную сумму, указанную участником экзамена в бланке регистрации, и получить его подпись в форме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ППЭ-05-02-К.</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За 30 минут и за 5 минут до окончания выполнения экзаменационной работы сообщить участникам экзамен</w:t>
      </w:r>
      <w:r>
        <w:rPr>
          <w:rFonts w:ascii="Tinos" w:hAnsi="Tinos" w:eastAsia="Tinos" w:cs="Tinos"/>
          <w:sz w:val="28"/>
          <w:szCs w:val="28"/>
          <w:highlight w:val="none"/>
          <w:lang w:val="ru-RU"/>
        </w:rPr>
        <w:t xml:space="preserve">а о скором завершении выполнения экзаменационной работы и напомнить о необходимости проверить полноту и правильность внесения ответов на задания экзаменационной работы в ПО для сдачи экзамена и по окончании экзамена внести контрольную сумму, автоматически </w:t>
      </w:r>
      <w:r>
        <w:rPr>
          <w:rFonts w:ascii="Tinos" w:hAnsi="Tinos" w:eastAsia="Tinos" w:cs="Tinos"/>
          <w:sz w:val="28"/>
          <w:szCs w:val="28"/>
          <w:highlight w:val="none"/>
          <w:lang w:val="ru-RU"/>
        </w:rPr>
        <w:t xml:space="preserve">сформированную на основе введенных участником экзамена ответов в систему, в бланк регистрации.</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За 15 минут до окончания выполнения экзаменационной работы: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пересчитать:</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 регистрации в аудитории (испорченные и (или) имеющие полиграфические дефекты); </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неиспользованные черновики;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отметить в форме ППЭ-05-02-К факты неявки на экзамен участников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а также проверить отметки фактов (в случае если такие факты имели место) удаления </w:t>
      </w:r>
      <w:r>
        <w:rPr>
          <w:rFonts w:ascii="Tinos" w:hAnsi="Tinos" w:eastAsia="Tinos" w:cs="Tinos"/>
          <w:sz w:val="28"/>
          <w:szCs w:val="28"/>
          <w:highlight w:val="none"/>
          <w:lang w:val="ru-RU"/>
        </w:rPr>
        <w:t xml:space="preserve">из ППЭ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не</w:t>
      </w:r>
      <w:r>
        <w:rPr>
          <w:rFonts w:ascii="Tinos" w:hAnsi="Tinos" w:eastAsia="Tinos" w:cs="Tinos"/>
          <w:sz w:val="28"/>
          <w:szCs w:val="28"/>
          <w:highlight w:val="none"/>
          <w:lang w:val="ru-RU"/>
        </w:rPr>
        <w:t xml:space="preserve">завершения</w:t>
      </w:r>
      <w:r>
        <w:rPr>
          <w:rFonts w:ascii="Tinos" w:hAnsi="Tinos" w:eastAsia="Tinos" w:cs="Tinos"/>
          <w:sz w:val="28"/>
          <w:szCs w:val="28"/>
          <w:highlight w:val="none"/>
          <w:lang w:val="ru-RU"/>
        </w:rPr>
        <w:t xml:space="preserve"> выполнения экзаменационной работы, ошибок в документах.</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выполнения экзаменационной работы участниками экзамена организатор в аудитории должен:</w:t>
      </w:r>
      <w:r>
        <w:rPr>
          <w:rFonts w:ascii="Tinos" w:hAnsi="Tinos" w:eastAsia="Tinos" w:cs="Tinos"/>
          <w:b/>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центре видимости камер видеонаблюдения объявить, что выполнение экзаменационной работы окончено;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попросить завершить экзамен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нажав на кнопку «Завершить экзамен»;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попросить ознакомиться с ответами, внесёнными на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ю</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и подтвердить ознакомление нажатием на кнопку «Принять»;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попросить ознакомиться со сформированным протоколом ответов участника</w:t>
      </w:r>
      <w:r>
        <w:rPr>
          <w:rFonts w:ascii="Tinos" w:hAnsi="Tinos" w:eastAsia="Tinos" w:cs="Tinos"/>
          <w:sz w:val="28"/>
          <w:szCs w:val="28"/>
          <w:highlight w:val="none"/>
          <w:lang w:val="ru-RU"/>
        </w:rPr>
        <w:t xml:space="preserve"> КЕГЭ и перейти на страницу «Экзамен закончен» (</w:t>
      </w:r>
      <w:r>
        <w:rPr>
          <w:rFonts w:ascii="Tinos" w:hAnsi="Tinos" w:eastAsia="Tinos" w:cs="Tinos"/>
          <w:sz w:val="28"/>
          <w:szCs w:val="28"/>
          <w:highlight w:val="none"/>
          <w:lang w:val="ru-RU"/>
        </w:rPr>
        <w:t xml:space="preserve">см</w:t>
      </w:r>
      <w:r>
        <w:rPr>
          <w:rFonts w:ascii="Tinos" w:hAnsi="Tinos" w:eastAsia="Tinos" w:cs="Tinos"/>
          <w:sz w:val="28"/>
          <w:szCs w:val="28"/>
          <w:highlight w:val="none"/>
          <w:lang w:val="ru-RU"/>
        </w:rPr>
        <w:t xml:space="preserve">. рис. 2):</w:t>
      </w:r>
      <w:r>
        <w:rPr>
          <w:rFonts w:ascii="Tinos" w:hAnsi="Tinos" w:cs="Tinos"/>
          <w:sz w:val="28"/>
          <w:szCs w:val="28"/>
          <w:highlight w:val="none"/>
        </w:rPr>
      </w:r>
      <w:r>
        <w:rPr>
          <w:rFonts w:ascii="Tinos" w:hAnsi="Tinos" w:cs="Tinos"/>
          <w:sz w:val="28"/>
          <w:szCs w:val="28"/>
          <w:highlight w:val="none"/>
        </w:rPr>
      </w:r>
    </w:p>
    <w:p>
      <w:pPr>
        <w:ind w:right="0" w:firstLine="0"/>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eastAsia="ru-RU"/>
        </w:rPr>
      </w:r>
      <w:r>
        <w:rPr>
          <w:rFonts w:ascii="Tinos" w:hAnsi="Tinos" w:cs="Tinos"/>
          <w:sz w:val="28"/>
          <w:szCs w:val="28"/>
          <w:highlight w:val="none"/>
        </w:rPr>
      </w:r>
      <w:r>
        <w:rPr>
          <w:rFonts w:ascii="Tinos" w:hAnsi="Tinos" w:cs="Tinos"/>
          <w:sz w:val="28"/>
          <w:szCs w:val="28"/>
          <w:highlight w:val="none"/>
        </w:rPr>
      </w:r>
    </w:p>
    <w:p>
      <w:pPr>
        <w:ind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eastAsia="ru-RU"/>
        </w:rPr>
        <mc:AlternateContent>
          <mc:Choice Requires="wpg">
            <w:drawing>
              <wp:inline xmlns:wp="http://schemas.openxmlformats.org/drawingml/2006/wordprocessingDrawing" distT="0" distB="0" distL="0" distR="0">
                <wp:extent cx="5510483" cy="4170073"/>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r/>
                      </pic:nvPicPr>
                      <pic:blipFill>
                        <a:blip r:embed="rId13"/>
                        <a:stretch/>
                      </pic:blipFill>
                      <pic:spPr bwMode="auto">
                        <a:xfrm>
                          <a:off x="0" y="0"/>
                          <a:ext cx="5517531" cy="4175406"/>
                        </a:xfrm>
                        <a:prstGeom prst="rect">
                          <a:avLst/>
                        </a:prstGeom>
                        <a:noFill/>
                        <a:ln w="9525">
                          <a:noFill/>
                          <a:miter lim="800000"/>
                          <a:headEnd/>
                          <a:tailEnd/>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433.90pt;height:328.35pt;mso-wrap-distance-left:0.00pt;mso-wrap-distance-top:0.00pt;mso-wrap-distance-right:0.00pt;mso-wrap-distance-bottom:0.00pt;" stroked="f" strokeweight="0.75pt">
                <v:path textboxrect="0,0,0,0"/>
                <v:imagedata r:id="rId13" o:title=""/>
              </v:shape>
            </w:pict>
          </mc:Fallback>
        </mc:AlternateContent>
      </w:r>
      <w:r>
        <w:rPr>
          <w:rFonts w:ascii="Tinos" w:hAnsi="Tinos" w:cs="Tinos"/>
          <w:sz w:val="20"/>
          <w:szCs w:val="20"/>
          <w:highlight w:val="none"/>
        </w:rPr>
      </w:r>
      <w:r>
        <w:rPr>
          <w:rFonts w:ascii="Tinos" w:hAnsi="Tinos" w:cs="Tinos"/>
          <w:sz w:val="20"/>
          <w:szCs w:val="20"/>
          <w:highlight w:val="none"/>
        </w:rPr>
      </w:r>
    </w:p>
    <w:p>
      <w:pPr>
        <w:ind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Рис. 2 Страница </w:t>
      </w:r>
      <w:r>
        <w:rPr>
          <w:rFonts w:ascii="Tinos" w:hAnsi="Tinos" w:eastAsia="Tinos" w:cs="Tinos"/>
          <w:sz w:val="20"/>
          <w:szCs w:val="20"/>
          <w:highlight w:val="none"/>
          <w:lang w:val="ru-RU"/>
        </w:rPr>
        <w:t xml:space="preserve">Станци</w:t>
      </w:r>
      <w:r>
        <w:rPr>
          <w:rFonts w:ascii="Tinos" w:hAnsi="Tinos" w:eastAsia="Tinos" w:cs="Tinos"/>
          <w:sz w:val="20"/>
          <w:szCs w:val="20"/>
          <w:highlight w:val="none"/>
          <w:lang w:val="ru-RU"/>
        </w:rPr>
        <w:t xml:space="preserve">и</w:t>
      </w:r>
      <w:r>
        <w:rPr>
          <w:rFonts w:ascii="Tinos" w:hAnsi="Tinos" w:eastAsia="Tinos" w:cs="Tinos"/>
          <w:sz w:val="20"/>
          <w:szCs w:val="20"/>
          <w:highlight w:val="none"/>
          <w:lang w:val="ru-RU"/>
        </w:rPr>
        <w:t xml:space="preserve"> КЕГЭ</w:t>
      </w:r>
      <w:r>
        <w:rPr>
          <w:rFonts w:ascii="Tinos" w:hAnsi="Tinos" w:eastAsia="Tinos" w:cs="Tinos"/>
          <w:sz w:val="20"/>
          <w:szCs w:val="20"/>
          <w:highlight w:val="none"/>
          <w:lang w:val="ru-RU"/>
        </w:rPr>
        <w:t xml:space="preserve"> «Экзамен закончен»</w:t>
      </w:r>
      <w:r>
        <w:rPr>
          <w:rFonts w:ascii="Tinos" w:hAnsi="Tinos" w:cs="Tinos"/>
          <w:sz w:val="20"/>
          <w:szCs w:val="20"/>
          <w:highlight w:val="none"/>
        </w:rPr>
      </w:r>
      <w:r>
        <w:rPr>
          <w:rFonts w:ascii="Tinos" w:hAnsi="Tinos" w:cs="Tinos"/>
          <w:sz w:val="20"/>
          <w:szCs w:val="20"/>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попросить перенести с экрана компьютера (ноутбука) в бланк регистрации контрольную сумму, автоматически сформированную на основе введенных участником экзамена ответов в систему;</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попросить положить бланки регистрации и черновики на край стола;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собрать у участников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 регистрации, проверив наличие и правильность переноса контрольной суммы и удостоверив данное действие своей подписью на бланке регистрации участника в специально отведённом поле;</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(если выдавались);</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КЕГЭ;</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станции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форму ППЭ-05-02-К, перенеся контрольную сумму из бланков регистрации и получив подписи у участников экзамена, предварительно дав им возможность убедиться в правильности переноса контрольной суммы из бланка регистрации в форму ППЭ-05-02-К.</w:t>
      </w:r>
      <w:r>
        <w:rPr>
          <w:rFonts w:ascii="Tinos" w:hAnsi="Tinos" w:cs="Tinos"/>
          <w:sz w:val="28"/>
          <w:szCs w:val="28"/>
          <w:highlight w:val="none"/>
        </w:rPr>
      </w:r>
      <w:r>
        <w:rPr>
          <w:rFonts w:ascii="Tinos" w:hAnsi="Tinos" w:cs="Tinos"/>
          <w:sz w:val="28"/>
          <w:szCs w:val="28"/>
          <w:highlight w:val="none"/>
        </w:rPr>
      </w:r>
    </w:p>
    <w:p>
      <w:pPr>
        <w:pStyle w:val="1003"/>
        <w:numPr>
          <w:ilvl w:val="1"/>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Перевод бланков регистрации участников в электронный вид.</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обеспечения сканирования в аудитории бланков участников экзамена </w:t>
      </w:r>
      <w:r>
        <w:rPr>
          <w:rFonts w:ascii="Tinos" w:hAnsi="Tinos" w:eastAsia="Tinos" w:cs="Tinos"/>
          <w:sz w:val="28"/>
          <w:szCs w:val="28"/>
          <w:highlight w:val="none"/>
          <w:lang w:val="ru-RU"/>
        </w:rPr>
        <w:t xml:space="preserve">организатор</w:t>
      </w:r>
      <w:r>
        <w:rPr>
          <w:rFonts w:ascii="Tinos" w:hAnsi="Tinos" w:eastAsia="Tinos" w:cs="Tinos"/>
          <w:sz w:val="28"/>
          <w:szCs w:val="28"/>
          <w:highlight w:val="none"/>
          <w:lang w:val="ru-RU"/>
        </w:rPr>
        <w:t xml:space="preserve">, ответственный за сканирование: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 станции организатора переходит на этап сканирования, подтверждая, что печать ЭМ не требуется и экзамен завершен;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размещает на сканере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 комплект бланков регистрации участников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6"/>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форм</w:t>
      </w:r>
      <w:r>
        <w:rPr>
          <w:rFonts w:ascii="Tinos" w:hAnsi="Tinos" w:eastAsia="Tinos" w:cs="Tinos"/>
          <w:sz w:val="28"/>
          <w:szCs w:val="28"/>
          <w:highlight w:val="none"/>
          <w:lang w:val="ru-RU"/>
        </w:rPr>
        <w:t xml:space="preserve">ы</w:t>
      </w:r>
      <w:r>
        <w:rPr>
          <w:rFonts w:ascii="Tinos" w:hAnsi="Tinos" w:eastAsia="Tinos" w:cs="Tinos"/>
          <w:sz w:val="28"/>
          <w:szCs w:val="28"/>
          <w:highlight w:val="none"/>
          <w:lang w:val="ru-RU"/>
        </w:rPr>
        <w:t xml:space="preserve"> ППЭ, предназначенны</w:t>
      </w:r>
      <w:r>
        <w:rPr>
          <w:rFonts w:ascii="Tinos" w:hAnsi="Tinos" w:eastAsia="Tinos" w:cs="Tinos"/>
          <w:sz w:val="28"/>
          <w:szCs w:val="28"/>
          <w:highlight w:val="none"/>
          <w:lang w:val="ru-RU"/>
        </w:rPr>
        <w:t xml:space="preserve">е</w:t>
      </w:r>
      <w:r>
        <w:rPr>
          <w:rFonts w:ascii="Tinos" w:hAnsi="Tinos" w:eastAsia="Tinos" w:cs="Tinos"/>
          <w:sz w:val="28"/>
          <w:szCs w:val="28"/>
          <w:highlight w:val="none"/>
          <w:lang w:val="ru-RU"/>
        </w:rPr>
        <w:t xml:space="preserve"> для сканирования в аудитории: формы ППЭ-05-02-К (форму не нужно подписывать у руководителя ППЭ и члена ГЭК перед сканированием), ППЭ-12-02 (при наличии), ППЭ-12-04-МАШ;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вносит сведения о количестве комплектов участников, количестве </w:t>
      </w:r>
      <w:r>
        <w:rPr>
          <w:rFonts w:ascii="Tinos" w:hAnsi="Tinos" w:eastAsia="Tinos" w:cs="Tinos"/>
          <w:sz w:val="28"/>
          <w:szCs w:val="28"/>
          <w:highlight w:val="none"/>
          <w:lang w:val="ru-RU"/>
        </w:rPr>
        <w:t xml:space="preserve">неявившихся</w:t>
      </w:r>
      <w:r>
        <w:rPr>
          <w:rFonts w:ascii="Tinos" w:hAnsi="Tinos" w:eastAsia="Tinos" w:cs="Tinos"/>
          <w:sz w:val="28"/>
          <w:szCs w:val="28"/>
          <w:highlight w:val="none"/>
          <w:lang w:val="ru-RU"/>
        </w:rPr>
        <w:t xml:space="preserve">, не завершивших экзамен и удалённых из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запускает процедуру сканирования;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случае выявления особой ситуации в результате сканирования предпринимает рекомендованные действия по ее устранению или приглашает технического специалиста;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 окончании сканирования приглашает в аудиторию (через организатора вне аудитории) технического специалиста и члена ГЭК для экспорта отсканированных материалов и завершения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В случае необходимости повторной настройки станции организатора для тестового сканирования необходимо использовать калибровочный лист (</w:t>
      </w:r>
      <w:r>
        <w:rPr>
          <w:rFonts w:ascii="Tinos" w:hAnsi="Tinos" w:eastAsia="Tinos" w:cs="Tinos"/>
          <w:sz w:val="28"/>
          <w:szCs w:val="28"/>
          <w:highlight w:val="none"/>
          <w:lang w:val="ru-RU"/>
        </w:rPr>
        <w:t xml:space="preserve">тестовую страницу границ печати) станции организатора, напечатанный на данной станции организатора, полученный от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пе</w:t>
      </w:r>
      <w:r>
        <w:rPr>
          <w:rFonts w:ascii="Tinos" w:hAnsi="Tinos" w:eastAsia="Tinos" w:cs="Tinos"/>
          <w:sz w:val="28"/>
          <w:szCs w:val="28"/>
          <w:highlight w:val="none"/>
          <w:lang w:val="ru-RU"/>
        </w:rPr>
        <w:t xml:space="preserve">чати техническим специалистом протокола печати ЭМ в аудитории (форма ППЭ-23) и протокола проведения процедуры сканирования бланков в аудитории ППЭ (форма ППЭ-15) организаторы в аудитории подписывают его и передают в Штаб ППЭ вместе с остальными формами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завершения техническим специалистом ППЭ экзамена на станциях КЕГЭ, сохранения ответов участников экзамена и электронных журналов работы станций КЕГЭ на </w:t>
      </w: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организаторы в аудитории должны</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запечатать бланки регистрации в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запечатать использованные черновики (в том числе черновики КЕГЭ) в конверт. На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необходимо </w:t>
      </w:r>
      <w:r>
        <w:rPr>
          <w:rFonts w:ascii="Tinos" w:hAnsi="Tinos" w:eastAsia="Tinos" w:cs="Tinos"/>
          <w:sz w:val="28"/>
          <w:szCs w:val="28"/>
          <w:highlight w:val="none"/>
          <w:lang w:val="ru-RU"/>
        </w:rPr>
        <w:t xml:space="preserve">наклеить заполненную форму ППЭ-11-01</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запечатать испорченные (бракованные) бланки регистрации (при наличии) в ВДП;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необходимые формы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заполнить форму </w:t>
      </w:r>
      <w:r>
        <w:rPr>
          <w:rFonts w:ascii="Tinos" w:hAnsi="Tinos" w:eastAsia="Tinos" w:cs="Tinos"/>
          <w:sz w:val="28"/>
          <w:szCs w:val="28"/>
          <w:highlight w:val="none"/>
          <w:lang w:val="ru-RU"/>
        </w:rPr>
        <w:t xml:space="preserve">ППЭ-11 на всех </w:t>
      </w:r>
      <w:r>
        <w:rPr>
          <w:rFonts w:ascii="Tinos" w:hAnsi="Tinos" w:eastAsia="Tinos" w:cs="Tinos"/>
          <w:sz w:val="28"/>
          <w:szCs w:val="28"/>
          <w:highlight w:val="none"/>
          <w:lang w:val="ru-RU"/>
        </w:rPr>
        <w:t xml:space="preserve">конвертах</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Конверт с бланками регистрации уча</w:t>
      </w:r>
      <w:r>
        <w:rPr>
          <w:rFonts w:ascii="Tinos" w:hAnsi="Tinos" w:eastAsia="Tinos" w:cs="Tinos"/>
          <w:sz w:val="28"/>
          <w:szCs w:val="28"/>
          <w:highlight w:val="none"/>
          <w:lang w:val="ru-RU"/>
        </w:rPr>
        <w:t xml:space="preserve">стников экзамена не запаковывается до того, пока не будет произведён экспорт отсканированных материалов либо до принятия решения о сканировании в Штабе ППЭ в случае возникновения нештатной ситуации, которую невозможно решить средствами станции организатора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Оформление соответствующих форм, осуществление раскладки и последующей упаковки организаторами бланков регистрации, собранных у участников экзамена, осуществляется в специально выделенном в аудитории месте </w:t>
      </w:r>
      <w:r>
        <w:rPr>
          <w:rFonts w:ascii="Tinos" w:hAnsi="Tinos" w:eastAsia="Tinos" w:cs="Tinos"/>
          <w:sz w:val="28"/>
          <w:szCs w:val="28"/>
          <w:highlight w:val="none"/>
          <w:lang w:val="ru-RU"/>
        </w:rPr>
        <w:t xml:space="preserve">(столе), находящемся в зоне видимости камер видеонаблюдения.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В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упаковываются только бланки регистрации участников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этом запрещается: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использовать какие-либо иные пакеты (конверты и т.д.) вместо выданных </w:t>
      </w:r>
      <w:r>
        <w:rPr>
          <w:rFonts w:ascii="Tinos" w:hAnsi="Tinos" w:eastAsia="Tinos" w:cs="Tinos"/>
          <w:sz w:val="28"/>
          <w:szCs w:val="28"/>
          <w:highlight w:val="none"/>
          <w:lang w:val="ru-RU"/>
        </w:rPr>
        <w:t xml:space="preserve">конвертов</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вкладывать вместе с бланками регистрации какие-либо другие материалы;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скреплять бланки регистрации (скрепками, </w:t>
      </w:r>
      <w:r>
        <w:rPr>
          <w:rFonts w:ascii="Tinos" w:hAnsi="Tinos" w:eastAsia="Tinos" w:cs="Tinos"/>
          <w:sz w:val="28"/>
          <w:szCs w:val="28"/>
          <w:highlight w:val="none"/>
          <w:lang w:val="ru-RU"/>
        </w:rPr>
        <w:t xml:space="preserve">степлерами</w:t>
      </w:r>
      <w:r>
        <w:rPr>
          <w:rFonts w:ascii="Tinos" w:hAnsi="Tinos" w:eastAsia="Tinos" w:cs="Tinos"/>
          <w:sz w:val="28"/>
          <w:szCs w:val="28"/>
          <w:highlight w:val="none"/>
          <w:lang w:val="ru-RU"/>
        </w:rPr>
        <w:t xml:space="preserve"> и т.п.);</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менять ориентацию бланков регистрации в </w:t>
      </w:r>
      <w:r>
        <w:rPr>
          <w:rFonts w:ascii="Tinos" w:hAnsi="Tinos" w:eastAsia="Tinos" w:cs="Tinos"/>
          <w:sz w:val="28"/>
          <w:szCs w:val="28"/>
          <w:highlight w:val="none"/>
          <w:lang w:val="ru-RU"/>
        </w:rPr>
        <w:t xml:space="preserve">конверте</w:t>
      </w:r>
      <w:r>
        <w:rPr>
          <w:rFonts w:ascii="Tinos" w:hAnsi="Tinos" w:eastAsia="Tinos" w:cs="Tinos"/>
          <w:sz w:val="28"/>
          <w:szCs w:val="28"/>
          <w:highlight w:val="none"/>
          <w:lang w:val="ru-RU"/>
        </w:rPr>
        <w:t xml:space="preserve"> (верх-низ, </w:t>
      </w:r>
      <w:r>
        <w:rPr>
          <w:rFonts w:ascii="Tinos" w:hAnsi="Tinos" w:eastAsia="Tinos" w:cs="Tinos"/>
          <w:sz w:val="28"/>
          <w:szCs w:val="28"/>
          <w:highlight w:val="none"/>
          <w:lang w:val="ru-RU"/>
        </w:rPr>
        <w:t xml:space="preserve">лицевая-оборотная</w:t>
      </w:r>
      <w:r>
        <w:rPr>
          <w:rFonts w:ascii="Tinos" w:hAnsi="Tinos" w:eastAsia="Tinos" w:cs="Tinos"/>
          <w:sz w:val="28"/>
          <w:szCs w:val="28"/>
          <w:highlight w:val="none"/>
          <w:lang w:val="ru-RU"/>
        </w:rPr>
        <w:t xml:space="preserve"> сторона).</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завершении сбора и упаковки бланков регистрации в аудитории ответственный организатор в центре видимости камеры видеонаблюдения объявляет об окончан</w:t>
      </w:r>
      <w:r>
        <w:rPr>
          <w:rFonts w:ascii="Tinos" w:hAnsi="Tinos" w:eastAsia="Tinos" w:cs="Tinos"/>
          <w:sz w:val="28"/>
          <w:szCs w:val="28"/>
          <w:highlight w:val="none"/>
          <w:lang w:val="ru-RU"/>
        </w:rPr>
        <w:t xml:space="preserve">ии экзамена. После проведения сбора бланков регистрации и подписания протокола о проведении экзамена в аудитории (форма ППЭ-05-02-К) ответственный организатор на камеру видеонаблюдения громко объявляет все данные протокола, в том числе наименование предмет</w:t>
      </w:r>
      <w:r>
        <w:rPr>
          <w:rFonts w:ascii="Tinos" w:hAnsi="Tinos" w:eastAsia="Tinos" w:cs="Tinos"/>
          <w:sz w:val="28"/>
          <w:szCs w:val="28"/>
          <w:highlight w:val="none"/>
          <w:lang w:val="ru-RU"/>
        </w:rPr>
        <w:t xml:space="preserve">а, количество участников экзамена в данной аудитории и количество бланков регистрации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w:t>
      </w:r>
      <w:r>
        <w:rPr>
          <w:rFonts w:ascii="Tinos" w:hAnsi="Tinos" w:eastAsia="Tinos" w:cs="Tinos"/>
          <w:sz w:val="28"/>
          <w:szCs w:val="28"/>
          <w:highlight w:val="none"/>
          <w:lang w:val="ru-RU"/>
        </w:rPr>
        <w:t xml:space="preserve">конве</w:t>
      </w:r>
      <w:r>
        <w:rPr>
          <w:rFonts w:ascii="Tinos" w:hAnsi="Tinos" w:eastAsia="Tinos" w:cs="Tinos"/>
          <w:sz w:val="28"/>
          <w:szCs w:val="28"/>
          <w:highlight w:val="none"/>
          <w:lang w:val="ru-RU"/>
        </w:rPr>
        <w:t xml:space="preserve">рт</w:t>
      </w:r>
      <w:r>
        <w:rPr>
          <w:rFonts w:ascii="Tinos" w:hAnsi="Tinos" w:eastAsia="Tinos" w:cs="Tinos"/>
          <w:sz w:val="28"/>
          <w:szCs w:val="28"/>
          <w:highlight w:val="none"/>
          <w:lang w:val="ru-RU"/>
        </w:rPr>
        <w:t xml:space="preserve"> с бл</w:t>
      </w:r>
      <w:r>
        <w:rPr>
          <w:rFonts w:ascii="Tinos" w:hAnsi="Tinos" w:eastAsia="Tinos" w:cs="Tinos"/>
          <w:sz w:val="28"/>
          <w:szCs w:val="28"/>
          <w:highlight w:val="none"/>
          <w:lang w:val="ru-RU"/>
        </w:rPr>
        <w:t xml:space="preserve">анками регистрации участников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завершении соответствующих процедур организаторы проходят в Штаб ППЭ с ЭМ и передают их руководителю ППЭ в присутствии члена ГЭК. Прием ЭМ должен проводиться за специально отведенным столом, находящимся в зоне видимости камер видеонаблюдения.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ЭМ, которые организаторы передают руководителю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w:t>
      </w:r>
      <w:r>
        <w:rPr>
          <w:rFonts w:ascii="Tinos" w:hAnsi="Tinos" w:eastAsia="Tinos" w:cs="Tinos"/>
          <w:sz w:val="28"/>
          <w:szCs w:val="28"/>
          <w:highlight w:val="none"/>
          <w:lang w:val="ru-RU"/>
        </w:rPr>
        <w:t xml:space="preserve">конве</w:t>
      </w:r>
      <w:r>
        <w:rPr>
          <w:rFonts w:ascii="Tinos" w:hAnsi="Tinos" w:eastAsia="Tinos" w:cs="Tinos"/>
          <w:sz w:val="28"/>
          <w:szCs w:val="28"/>
          <w:highlight w:val="none"/>
          <w:lang w:val="ru-RU"/>
        </w:rPr>
        <w:t xml:space="preserve">рт</w:t>
      </w:r>
      <w:r>
        <w:rPr>
          <w:rFonts w:ascii="Tinos" w:hAnsi="Tinos" w:eastAsia="Tinos" w:cs="Tinos"/>
          <w:sz w:val="28"/>
          <w:szCs w:val="28"/>
          <w:highlight w:val="none"/>
          <w:lang w:val="ru-RU"/>
        </w:rPr>
        <w:t xml:space="preserve"> с бл</w:t>
      </w:r>
      <w:r>
        <w:rPr>
          <w:rFonts w:ascii="Tinos" w:hAnsi="Tinos" w:eastAsia="Tinos" w:cs="Tinos"/>
          <w:sz w:val="28"/>
          <w:szCs w:val="28"/>
          <w:highlight w:val="none"/>
          <w:lang w:val="ru-RU"/>
        </w:rPr>
        <w:t xml:space="preserve">анками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калибровочный лист с каждой станции организатора, использованной в аудитории;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с испорченными (бракованными) бланками 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запечатанный конверт с использованными черновиками, включая черновики КЕГЭ;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неиспользованные черновики;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w:t>
      </w:r>
      <w:r>
        <w:rPr>
          <w:rFonts w:ascii="Tinos" w:hAnsi="Tinos" w:eastAsia="Tinos" w:cs="Tinos"/>
          <w:sz w:val="28"/>
          <w:szCs w:val="28"/>
          <w:highlight w:val="none"/>
          <w:lang w:val="ru-RU"/>
        </w:rPr>
        <w:t xml:space="preserve">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13"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формы:</w:t>
      </w:r>
      <w:r>
        <w:rPr>
          <w:rFonts w:ascii="Tinos" w:hAnsi="Tinos" w:eastAsia="Tinos" w:cs="Tinos"/>
          <w:sz w:val="28"/>
          <w:szCs w:val="28"/>
          <w:highlight w:val="none"/>
          <w:lang w:val="ru-RU"/>
        </w:rPr>
        <w:t xml:space="preserve"> ППЭ-05-02-К, </w:t>
      </w:r>
      <w:r>
        <w:rPr>
          <w:rFonts w:ascii="Tinos" w:hAnsi="Tinos" w:eastAsia="Tinos" w:cs="Tinos"/>
          <w:sz w:val="28"/>
          <w:szCs w:val="28"/>
          <w:highlight w:val="none"/>
          <w:lang w:val="ru-RU"/>
        </w:rPr>
        <w:t xml:space="preserve">ППЭ-12-02,</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ППЭ-12-04-МАШ,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служебные записки (при наличии),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формы: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ППЭ-05-01</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ППЭ-23, ППЭ-15.</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Организаторы покидают ППЭ после передачи всех ЭМ руководителю ППЭ и с разрешения руководителя ППЭ.</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numPr>
          <w:ilvl w:val="0"/>
          <w:numId w:val="1"/>
        </w:numPr>
        <w:ind w:left="0" w:right="-1"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Требования к техническому оснащению ППЭ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708" w:right="0" w:firstLine="0"/>
        <w:jc w:val="left"/>
        <w:spacing w:before="0" w:beforeAutospacing="0" w:after="0" w:afterAutospacing="0" w:line="240" w:lineRule="auto"/>
        <w:rPr>
          <w:rFonts w:ascii="Tinos" w:hAnsi="Tinos" w:cs="Tinos"/>
          <w:highlight w:val="cyan"/>
        </w:rPr>
      </w:pPr>
      <w:r>
        <w:rPr>
          <w:rFonts w:ascii="Tinos" w:hAnsi="Tinos" w:eastAsia="Tinos" w:cs="Tinos"/>
          <w:b/>
          <w:sz w:val="28"/>
          <w:highlight w:val="cyan"/>
          <w:lang w:val="ru-RU"/>
        </w:rPr>
        <w:t xml:space="preserve"> </w:t>
      </w:r>
      <w:r>
        <w:rPr>
          <w:rFonts w:ascii="Tinos" w:hAnsi="Tinos" w:cs="Tinos"/>
          <w:highlight w:val="cyan"/>
        </w:rPr>
      </w:r>
      <w:r>
        <w:rPr>
          <w:rFonts w:ascii="Tinos" w:hAnsi="Tinos" w:cs="Tinos"/>
          <w:highlight w:val="cyan"/>
        </w:rPr>
      </w:r>
    </w:p>
    <w:tbl>
      <w:tblPr>
        <w:tblW w:w="0" w:type="auto"/>
        <w:tblInd w:w="2" w:type="dxa"/>
        <w:tblCellMar>
          <w:right w:w="47" w:type="dxa"/>
        </w:tblCellMar>
        <w:tblLook w:val="04A0" w:firstRow="1" w:lastRow="0" w:firstColumn="1" w:lastColumn="0" w:noHBand="0" w:noVBand="1"/>
      </w:tblPr>
      <w:tblGrid>
        <w:gridCol w:w="2457"/>
        <w:gridCol w:w="2685"/>
        <w:gridCol w:w="5216"/>
      </w:tblGrid>
      <w:tr>
        <w:tblPrEx/>
        <w:trPr>
          <w:trHeight w:val="20"/>
          <w:tblHeader/>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1"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sz w:val="24"/>
                <w:szCs w:val="24"/>
                <w:highlight w:val="none"/>
              </w:rPr>
              <w:t xml:space="preserve">Компонент</w:t>
            </w:r>
            <w:r>
              <w:rPr>
                <w:rFonts w:ascii="Tinos" w:hAnsi="Tinos" w:eastAsia="Tinos" w:cs="Tinos"/>
                <w:sz w:val="24"/>
                <w:szCs w:val="24"/>
                <w:highlight w:val="none"/>
              </w:rPr>
              <w:t xml:space="preserve"> </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34"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sz w:val="24"/>
                <w:szCs w:val="24"/>
                <w:highlight w:val="none"/>
              </w:rPr>
              <w:t xml:space="preserve">Количество</w:t>
            </w:r>
            <w:r>
              <w:rPr>
                <w:rFonts w:ascii="Tinos" w:hAnsi="Tinos" w:eastAsia="Tinos" w:cs="Tinos"/>
                <w:sz w:val="24"/>
                <w:szCs w:val="24"/>
                <w:highlight w:val="none"/>
              </w:rPr>
              <w:t xml:space="preserve"> </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34"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sz w:val="24"/>
                <w:szCs w:val="24"/>
                <w:highlight w:val="none"/>
              </w:rPr>
              <w:t xml:space="preserve">Конфигурация</w:t>
            </w:r>
            <w:r>
              <w:rPr>
                <w:rFonts w:ascii="Tinos" w:hAnsi="Tinos" w:eastAsia="Tinos" w:cs="Tinos"/>
                <w:sz w:val="24"/>
                <w:szCs w:val="24"/>
                <w:highlight w:val="none"/>
              </w:rPr>
              <w:t xml:space="preserve"> </w:t>
            </w:r>
            <w:r>
              <w:rPr>
                <w:rFonts w:ascii="Tinos" w:hAnsi="Tinos" w:cs="Tinos"/>
                <w:sz w:val="24"/>
                <w:szCs w:val="24"/>
                <w:highlight w:val="none"/>
              </w:rPr>
            </w:r>
            <w:r>
              <w:rPr>
                <w:rFonts w:ascii="Tinos" w:hAnsi="Tinos" w:cs="Tinos"/>
                <w:sz w:val="24"/>
                <w:szCs w:val="24"/>
                <w:highlight w:val="none"/>
              </w:rPr>
            </w:r>
          </w:p>
        </w:tc>
      </w:tr>
      <w:tr>
        <w:tblPrEx/>
        <w:trPr>
          <w:trHeight w:val="20"/>
        </w:trPr>
        <w:tc>
          <w:tcPr>
            <w:gridSpan w:val="3"/>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1" w:right="0" w:firstLine="0"/>
              <w:jc w:val="left"/>
              <w:spacing w:before="0" w:beforeAutospacing="0" w:after="0" w:afterAutospacing="0" w:line="240" w:lineRule="auto"/>
              <w:rPr>
                <w:rFonts w:ascii="Tinos" w:hAnsi="Tinos" w:cs="Tinos"/>
                <w:b/>
                <w:sz w:val="24"/>
                <w:szCs w:val="24"/>
                <w:highlight w:val="none"/>
              </w:rPr>
            </w:pPr>
            <w:r>
              <w:rPr>
                <w:rFonts w:ascii="Tinos" w:hAnsi="Tinos" w:eastAsia="Tinos" w:cs="Tinos"/>
                <w:b/>
                <w:i/>
                <w:sz w:val="24"/>
                <w:szCs w:val="24"/>
                <w:highlight w:val="none"/>
              </w:rPr>
              <w:t xml:space="preserve">Рабочие</w:t>
            </w:r>
            <w:r>
              <w:rPr>
                <w:rFonts w:ascii="Tinos" w:hAnsi="Tinos" w:eastAsia="Tinos" w:cs="Tinos"/>
                <w:b/>
                <w:i/>
                <w:sz w:val="24"/>
                <w:szCs w:val="24"/>
                <w:highlight w:val="none"/>
              </w:rPr>
              <w:t xml:space="preserve"> </w:t>
            </w:r>
            <w:r>
              <w:rPr>
                <w:rFonts w:ascii="Tinos" w:hAnsi="Tinos" w:eastAsia="Tinos" w:cs="Tinos"/>
                <w:b/>
                <w:i/>
                <w:sz w:val="24"/>
                <w:szCs w:val="24"/>
                <w:highlight w:val="none"/>
              </w:rPr>
              <w:t xml:space="preserve">станции</w:t>
            </w:r>
            <w:r>
              <w:rPr>
                <w:rFonts w:ascii="Tinos" w:hAnsi="Tinos" w:eastAsia="Tinos" w:cs="Tinos"/>
                <w:b/>
                <w:sz w:val="24"/>
                <w:szCs w:val="24"/>
                <w:highlight w:val="none"/>
              </w:rPr>
              <w:t xml:space="preserve"> </w:t>
            </w:r>
            <w:r>
              <w:rPr>
                <w:rFonts w:ascii="Tinos" w:hAnsi="Tinos" w:cs="Tinos"/>
                <w:b/>
                <w:sz w:val="24"/>
                <w:szCs w:val="24"/>
                <w:highlight w:val="none"/>
              </w:rPr>
            </w:r>
            <w:r>
              <w:rPr>
                <w:rFonts w:ascii="Tinos" w:hAnsi="Tinos" w:cs="Tinos"/>
                <w:b/>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Станция организатора</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spacing w:before="0" w:beforeAutospacing="0" w:after="0" w:afterAutospacing="0"/>
              <w:rPr>
                <w:rFonts w:ascii="Tinos" w:hAnsi="Tinos" w:cs="Tinos"/>
                <w:highlight w:val="none"/>
              </w:rPr>
            </w:pPr>
            <w:r>
              <w:rPr>
                <w:rFonts w:ascii="Tinos" w:hAnsi="Tinos" w:eastAsia="Tinos" w:cs="Tinos"/>
                <w:highlight w:val="none"/>
              </w:rPr>
              <w:t xml:space="preserve">по 1 на каждую аудиторию проведения + не менее 1 резервной станции на 3-4 основные станции </w:t>
            </w:r>
            <w:r>
              <w:rPr>
                <w:rFonts w:ascii="Tinos" w:hAnsi="Tinos" w:cs="Tinos"/>
                <w:highlight w:val="none"/>
              </w:rPr>
            </w:r>
            <w:r>
              <w:rPr>
                <w:rFonts w:ascii="Tinos" w:hAnsi="Tinos" w:cs="Tinos"/>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Процессор</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количество ядер: от 4;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частота: от 2,0 ГГц.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Оперативная память: </w:t>
            </w:r>
            <w:r>
              <w:rPr>
                <w:rFonts w:ascii="Tinos" w:hAnsi="Tinos" w:eastAsia="Tinos" w:cs="Tinos"/>
                <w:highlight w:val="none"/>
              </w:rPr>
              <w:t xml:space="preserve">от 4 Гбайт,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доступная (свободная) память для работы ПО (неиспользуемая прочими приложениями): не менее 1 Гбайт.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Свободное дисковое пространство</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от 100 Гбайт на начало экзаменационного периода;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не менее 20% от общего объема жесткого диска в течение экзаменационного периода.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Прочее оборудование</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Звуковая карта (для проведения письменного экзамена по иностранному языку).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Аудиоколонки (для проведения письменного экзамена по иностранному языку).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Видеокарта и монитор: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разрешение не менее 1280 по горизонтали, не менее 1024 по вертикали;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диагональ экрана: от 13 дюймов для ноутбуков, от 15 дюймов для мониторов и моноблоков,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в настройках экрана в операционной системе значение параметра, отвечающего за изменение размера текста, приложений и других элементов, должно быть установлено – 100%.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Внешний интерфейс: USB 2.0 и выше, рекомендуется не ниже USB 3.0, а также не менее двух свободных портов**.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Манипулятор «мышь».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Клавиатура.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Система бесперебойного питания (рекомендуется): выходная мощность, соответствующая потребляемой мощности подключённого компьютера (ноутбука), время работы при полной нагрузке не менее 15 мин.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Локальный лазерный принтер </w:t>
            </w:r>
            <w:r>
              <w:rPr>
                <w:rFonts w:ascii="Tinos" w:hAnsi="Tinos" w:eastAsia="Tinos" w:cs="Tinos"/>
                <w:highlight w:val="none"/>
              </w:rPr>
              <w:t xml:space="preserve">(использование сетевого принтера не допускается)</w:t>
            </w:r>
            <w:r>
              <w:rPr>
                <w:rFonts w:ascii="Tinos" w:hAnsi="Tinos" w:eastAsia="Tinos" w:cs="Tinos"/>
                <w:b/>
                <w:bC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Формат</w:t>
            </w:r>
            <w:r>
              <w:rPr>
                <w:rFonts w:ascii="Tinos" w:hAnsi="Tinos" w:eastAsia="Tinos" w:cs="Tinos"/>
                <w:highlight w:val="none"/>
              </w:rPr>
              <w:t xml:space="preserve">: А</w:t>
            </w:r>
            <w:r>
              <w:rPr>
                <w:rFonts w:ascii="Tinos" w:hAnsi="Tinos" w:eastAsia="Tinos" w:cs="Tinos"/>
                <w:highlight w:val="none"/>
              </w:rPr>
              <w:t xml:space="preserve">4</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Тип печати</w:t>
            </w:r>
            <w:r>
              <w:rPr>
                <w:rFonts w:ascii="Tinos" w:hAnsi="Tinos" w:eastAsia="Tinos" w:cs="Tinos"/>
                <w:highlight w:val="none"/>
              </w:rPr>
              <w:t xml:space="preserve">: </w:t>
            </w:r>
            <w:r>
              <w:rPr>
                <w:rFonts w:ascii="Tinos" w:hAnsi="Tinos" w:eastAsia="Tinos" w:cs="Tinos"/>
                <w:highlight w:val="none"/>
              </w:rPr>
              <w:t xml:space="preserve">черно-белая</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Технология печати</w:t>
            </w:r>
            <w:r>
              <w:rPr>
                <w:rFonts w:ascii="Tinos" w:hAnsi="Tinos" w:eastAsia="Tinos" w:cs="Tinos"/>
                <w:highlight w:val="none"/>
              </w:rPr>
              <w:t xml:space="preserve">: лазерная.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Размещение</w:t>
            </w:r>
            <w:r>
              <w:rPr>
                <w:rFonts w:ascii="Tinos" w:hAnsi="Tinos" w:eastAsia="Tinos" w:cs="Tinos"/>
                <w:highlight w:val="none"/>
              </w:rPr>
              <w:t xml:space="preserve">: </w:t>
            </w:r>
            <w:r>
              <w:rPr>
                <w:rFonts w:ascii="Tinos" w:hAnsi="Tinos" w:eastAsia="Tinos" w:cs="Tinos"/>
                <w:highlight w:val="none"/>
              </w:rPr>
              <w:t xml:space="preserve">настольный</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Скорость черно-белой печати </w:t>
            </w:r>
            <w:r>
              <w:rPr>
                <w:rFonts w:ascii="Tinos" w:hAnsi="Tinos" w:eastAsia="Tinos" w:cs="Tinos"/>
                <w:highlight w:val="none"/>
              </w:rPr>
              <w:t xml:space="preserve">(обычный режим, A4): не менее 25 стр./мин.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Качество черно-белой печати </w:t>
            </w:r>
            <w:r>
              <w:rPr>
                <w:rFonts w:ascii="Tinos" w:hAnsi="Tinos" w:eastAsia="Tinos" w:cs="Tinos"/>
                <w:highlight w:val="none"/>
              </w:rPr>
              <w:t xml:space="preserve">(режим наилучшего качества): не менее 600 </w:t>
            </w:r>
            <w:r>
              <w:rPr>
                <w:rFonts w:ascii="Tinos" w:hAnsi="Tinos" w:eastAsia="Tinos" w:cs="Tinos"/>
                <w:highlight w:val="none"/>
              </w:rPr>
              <w:t xml:space="preserve">x</w:t>
            </w:r>
            <w:r>
              <w:rPr>
                <w:rFonts w:ascii="Tinos" w:hAnsi="Tinos" w:eastAsia="Tinos" w:cs="Tinos"/>
                <w:highlight w:val="none"/>
              </w:rPr>
              <w:t xml:space="preserve"> 600 точек на дюйм.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Объем лотка для печати</w:t>
            </w:r>
            <w:r>
              <w:rPr>
                <w:rFonts w:ascii="Tinos" w:hAnsi="Tinos" w:eastAsia="Tinos" w:cs="Tinos"/>
                <w:highlight w:val="none"/>
              </w:rPr>
              <w:t xml:space="preserve">: от 250 листов.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Локальный TWAIN–совместимый сканер </w:t>
            </w:r>
            <w:r>
              <w:rPr>
                <w:rFonts w:ascii="Tinos" w:hAnsi="Tinos" w:eastAsia="Tinos" w:cs="Tinos"/>
                <w:highlight w:val="none"/>
              </w:rPr>
              <w:t xml:space="preserve">(использование сетевого сканера не допускается)</w:t>
            </w:r>
            <w:r>
              <w:rPr>
                <w:rFonts w:ascii="Tinos" w:hAnsi="Tinos" w:eastAsia="Tinos" w:cs="Tinos"/>
                <w:b/>
                <w:bC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Формат бумаги</w:t>
            </w:r>
            <w:r>
              <w:rPr>
                <w:rFonts w:ascii="Tinos" w:hAnsi="Tinos" w:eastAsia="Tinos" w:cs="Tinos"/>
                <w:highlight w:val="none"/>
              </w:rPr>
              <w:t xml:space="preserve">: не менее А</w:t>
            </w:r>
            <w:r>
              <w:rPr>
                <w:rFonts w:ascii="Tinos" w:hAnsi="Tinos" w:eastAsia="Tinos" w:cs="Tinos"/>
                <w:highlight w:val="none"/>
              </w:rPr>
              <w:t xml:space="preserve">4</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999"/>
              <w:spacing w:before="0" w:beforeAutospacing="0" w:after="0" w:afterAutospacing="0"/>
              <w:rPr>
                <w:rFonts w:ascii="Tinos" w:hAnsi="Tinos" w:cs="Tinos"/>
                <w:sz w:val="24"/>
                <w:szCs w:val="24"/>
                <w:highlight w:val="none"/>
              </w:rPr>
            </w:pPr>
            <w:r>
              <w:rPr>
                <w:rFonts w:ascii="Tinos" w:hAnsi="Tinos" w:eastAsia="Tinos" w:cs="Tinos"/>
                <w:b/>
                <w:bCs/>
                <w:sz w:val="24"/>
                <w:szCs w:val="24"/>
                <w:highlight w:val="none"/>
              </w:rPr>
              <w:t xml:space="preserve">Разрешение сканирования</w:t>
            </w:r>
            <w:r>
              <w:rPr>
                <w:rFonts w:ascii="Tinos" w:hAnsi="Tinos" w:eastAsia="Tinos" w:cs="Tinos"/>
                <w:sz w:val="24"/>
                <w:szCs w:val="24"/>
                <w:highlight w:val="none"/>
              </w:rPr>
              <w:t xml:space="preserve">: поддержка режима 300 </w:t>
            </w:r>
            <w:r>
              <w:rPr>
                <w:rFonts w:ascii="Tinos" w:hAnsi="Tinos" w:eastAsia="Tinos" w:cs="Tinos"/>
                <w:sz w:val="24"/>
                <w:szCs w:val="24"/>
                <w:highlight w:val="none"/>
              </w:rPr>
              <w:t xml:space="preserve">dpi</w:t>
            </w:r>
            <w:r>
              <w:rPr>
                <w:rFonts w:ascii="Tinos" w:hAnsi="Tinos" w:eastAsia="Tinos" w:cs="Tinos"/>
                <w:sz w:val="24"/>
                <w:szCs w:val="24"/>
                <w:highlight w:val="none"/>
              </w:rPr>
              <w:t xml:space="preserve">. </w:t>
            </w:r>
            <w:r>
              <w:rPr>
                <w:rFonts w:ascii="Tinos" w:hAnsi="Tinos" w:cs="Tinos"/>
                <w:sz w:val="24"/>
                <w:szCs w:val="24"/>
                <w:highlight w:val="none"/>
              </w:rPr>
            </w:r>
            <w:r>
              <w:rPr>
                <w:rFonts w:ascii="Tinos" w:hAnsi="Tinos" w:cs="Tinos"/>
                <w:sz w:val="24"/>
                <w:szCs w:val="24"/>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Цветность сканирования</w:t>
            </w:r>
            <w:r>
              <w:rPr>
                <w:rFonts w:ascii="Tinos" w:hAnsi="Tinos" w:eastAsia="Tinos" w:cs="Tinos"/>
                <w:highlight w:val="none"/>
              </w:rPr>
              <w:t xml:space="preserve">: </w:t>
            </w:r>
            <w:r>
              <w:rPr>
                <w:rFonts w:ascii="Tinos" w:hAnsi="Tinos" w:eastAsia="Tinos" w:cs="Tinos"/>
                <w:highlight w:val="none"/>
              </w:rPr>
              <w:t xml:space="preserve">черно-белый</w:t>
            </w:r>
            <w:r>
              <w:rPr>
                <w:rFonts w:ascii="Tinos" w:hAnsi="Tinos" w:eastAsia="Tinos" w:cs="Tinos"/>
                <w:highlight w:val="none"/>
              </w:rPr>
              <w:t xml:space="preserve">, оттенки серого.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Тип сканера</w:t>
            </w:r>
            <w:r>
              <w:rPr>
                <w:rFonts w:ascii="Tinos" w:hAnsi="Tinos" w:eastAsia="Tinos" w:cs="Tinos"/>
                <w:highlight w:val="none"/>
              </w:rPr>
              <w:t xml:space="preserve">: поточный, односторонний, с поддержкой режима сканирования ADF: автоматическая подача документов.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i/>
                <w:iCs/>
                <w:highlight w:val="none"/>
              </w:rPr>
              <w:t xml:space="preserve">Допускается использование МФУ, технические характеристики которого удовлетворяют требованиям к принтеру и сканеру.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Операционные системы*</w:t>
            </w:r>
            <w:r>
              <w:rPr>
                <w:rFonts w:ascii="Tinos" w:hAnsi="Tinos" w:eastAsia="Tinos" w:cs="Tinos"/>
                <w:highlight w:val="none"/>
              </w:rPr>
              <w:t xml:space="preserve">: </w:t>
            </w:r>
            <w:r>
              <w:rPr>
                <w:rFonts w:ascii="Tinos" w:hAnsi="Tinos" w:eastAsia="Tinos" w:cs="Tinos"/>
                <w:highlight w:val="none"/>
              </w:rPr>
              <w:t xml:space="preserve">Windows</w:t>
            </w:r>
            <w:r>
              <w:rPr>
                <w:rFonts w:ascii="Tinos" w:hAnsi="Tinos" w:eastAsia="Tinos" w:cs="Tinos"/>
                <w:highlight w:val="none"/>
              </w:rPr>
              <w:t xml:space="preserve"> 8.1/10 (сборка 1607 и выше), платформы: ia32 (x86), x64.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Специальное ПО: </w:t>
            </w:r>
            <w:r>
              <w:rPr>
                <w:rFonts w:ascii="Tinos" w:hAnsi="Tinos" w:eastAsia="Tinos" w:cs="Tinos"/>
                <w:highlight w:val="none"/>
              </w:rPr>
              <w:t xml:space="preserve">Средство антивирусной защиты информации, имеющее действующий на весь период ЕГЭ сертификат ФСТЭК России. </w:t>
            </w:r>
            <w:r>
              <w:rPr>
                <w:rFonts w:ascii="Tinos" w:hAnsi="Tinos" w:eastAsia="Tinos" w:cs="Tinos"/>
                <w:highlight w:val="none"/>
              </w:rPr>
            </w:r>
            <w:r>
              <w:rPr>
                <w:rFonts w:ascii="Tinos" w:hAnsi="Tinos" w:cs="Tinos"/>
                <w:highlight w:val="none"/>
              </w:rPr>
            </w:r>
          </w:p>
          <w:p>
            <w:pPr>
              <w:pStyle w:val="999"/>
              <w:spacing w:before="0" w:beforeAutospacing="0" w:after="0" w:afterAutospacing="0"/>
              <w:rPr>
                <w:rFonts w:ascii="Tinos" w:hAnsi="Tinos" w:cs="Tinos"/>
                <w:sz w:val="24"/>
                <w:szCs w:val="24"/>
                <w:highlight w:val="none"/>
              </w:rPr>
            </w:pPr>
            <w:r>
              <w:rPr>
                <w:rFonts w:ascii="Tinos" w:hAnsi="Tinos" w:eastAsia="Tinos" w:cs="Tinos"/>
                <w:i/>
                <w:iCs/>
                <w:sz w:val="24"/>
                <w:szCs w:val="24"/>
                <w:highlight w:val="none"/>
              </w:rPr>
              <w:t xml:space="preserve">Установка и запуск станции должны выполняться под учетной записью с правами локального администратора </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ind w:left="-2"/>
              <w:spacing w:before="0" w:beforeAutospacing="0" w:after="0" w:afterAutospacing="0" w:line="262" w:lineRule="exact"/>
              <w:rPr>
                <w:rFonts w:ascii="Tinos" w:hAnsi="Tinos" w:cs="Tinos"/>
                <w:sz w:val="24"/>
                <w:szCs w:val="24"/>
                <w:highlight w:val="none"/>
              </w:rPr>
            </w:pPr>
            <w:r>
              <w:rPr>
                <w:rFonts w:ascii="Tinos" w:hAnsi="Tinos" w:eastAsia="Tinos" w:cs="Tinos"/>
                <w:sz w:val="24"/>
                <w:szCs w:val="24"/>
                <w:highlight w:val="none"/>
              </w:rPr>
              <w:t xml:space="preserve">Личный кабинет</w:t>
            </w:r>
            <w:r>
              <w:rPr>
                <w:rFonts w:ascii="Tinos" w:hAnsi="Tinos" w:eastAsia="Tinos" w:cs="Tinos"/>
                <w:spacing w:val="33"/>
                <w:sz w:val="24"/>
                <w:szCs w:val="24"/>
                <w:highlight w:val="none"/>
              </w:rPr>
              <w:t xml:space="preserve"> </w:t>
            </w:r>
            <w:r>
              <w:rPr>
                <w:rFonts w:ascii="Tinos" w:hAnsi="Tinos" w:eastAsia="Tinos" w:cs="Tinos"/>
                <w:sz w:val="24"/>
                <w:szCs w:val="24"/>
                <w:highlight w:val="none"/>
              </w:rPr>
              <w:t xml:space="preserve">ППЭ</w:t>
            </w:r>
            <w:r>
              <w:rPr>
                <w:rFonts w:ascii="Tinos" w:hAnsi="Tinos" w:eastAsia="Tinos" w:cs="Tinos"/>
                <w:spacing w:val="-57"/>
                <w:sz w:val="24"/>
                <w:szCs w:val="24"/>
                <w:highlight w:val="none"/>
              </w:rPr>
              <w:t xml:space="preserve"> </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ЕГЭ</w:t>
            </w:r>
            <w:r>
              <w:rPr>
                <w:rFonts w:ascii="Tinos" w:hAnsi="Tinos" w:eastAsia="Tinos" w:cs="Tinos"/>
                <w:sz w:val="24"/>
                <w:szCs w:val="24"/>
                <w:highlight w:val="none"/>
              </w:rPr>
              <w:t xml:space="preserve">***</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ind w:left="-2"/>
              <w:spacing w:before="0" w:beforeAutospacing="0" w:after="0" w:afterAutospacing="0"/>
              <w:rPr>
                <w:rFonts w:ascii="Tinos" w:hAnsi="Tinos" w:cs="Tinos"/>
                <w:highlight w:val="none"/>
              </w:rPr>
            </w:pPr>
            <w:r>
              <w:rPr>
                <w:rFonts w:ascii="Tinos" w:hAnsi="Tinos" w:eastAsia="Tinos" w:cs="Tinos"/>
                <w:highlight w:val="none"/>
              </w:rPr>
              <w:t xml:space="preserve">1 + не менее 1 резервного компьютера</w:t>
            </w:r>
            <w:r>
              <w:rPr>
                <w:rFonts w:ascii="Tinos" w:hAnsi="Tinos" w:eastAsia="Tinos" w:cs="Tinos"/>
                <w:highlight w:val="none"/>
              </w:rPr>
            </w:r>
            <w:r>
              <w:rPr>
                <w:rFonts w:ascii="Tinos" w:hAnsi="Tinos" w:cs="Tinos"/>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ind w:left="0" w:right="0" w:firstLine="0"/>
              <w:spacing w:before="0" w:beforeAutospacing="0" w:after="0" w:afterAutospacing="0"/>
              <w:rPr>
                <w:rFonts w:ascii="Tinos" w:hAnsi="Tinos" w:cs="Tinos"/>
                <w:highlight w:val="none"/>
              </w:rPr>
            </w:pPr>
            <w:r>
              <w:rPr>
                <w:rFonts w:ascii="Tinos" w:hAnsi="Tinos" w:eastAsia="Tinos" w:cs="Tinos"/>
                <w:b/>
                <w:bCs/>
                <w:highlight w:val="none"/>
              </w:rPr>
              <w:t xml:space="preserve">Процессор, оперативная память, свободное дисковое пространство</w:t>
            </w:r>
            <w:r>
              <w:rPr>
                <w:rFonts w:ascii="Tinos" w:hAnsi="Tinos" w:eastAsia="Tinos" w:cs="Tinos"/>
                <w:highlight w:val="none"/>
              </w:rPr>
              <w:t xml:space="preserve">: в соответствии с требованиями используемой операционной системы и браузера </w:t>
            </w:r>
            <w:r>
              <w:rPr>
                <w:rFonts w:ascii="Tinos" w:hAnsi="Tinos" w:eastAsia="Tinos" w:cs="Tinos"/>
                <w:highlight w:val="none"/>
              </w:rPr>
            </w:r>
            <w:r>
              <w:rPr>
                <w:rFonts w:ascii="Tinos" w:hAnsi="Tinos" w:cs="Tinos"/>
                <w:highlight w:val="none"/>
              </w:rPr>
            </w:r>
          </w:p>
          <w:p>
            <w:pPr>
              <w:pStyle w:val="1014"/>
              <w:ind w:left="0" w:right="0" w:firstLine="0"/>
              <w:spacing w:before="0" w:beforeAutospacing="0" w:after="0" w:afterAutospacing="0"/>
              <w:rPr>
                <w:rFonts w:ascii="Tinos" w:hAnsi="Tinos" w:cs="Tinos"/>
                <w:highlight w:val="none"/>
              </w:rPr>
            </w:pPr>
            <w:r>
              <w:rPr>
                <w:rFonts w:ascii="Tinos" w:hAnsi="Tinos" w:eastAsia="Tinos" w:cs="Tinos"/>
                <w:b/>
                <w:bCs/>
                <w:highlight w:val="none"/>
              </w:rPr>
              <w:t xml:space="preserve">Прочее оборудование: </w:t>
            </w:r>
            <w:r>
              <w:rPr>
                <w:rFonts w:ascii="Tinos" w:hAnsi="Tinos" w:eastAsia="Tinos" w:cs="Tinos"/>
                <w:highlight w:val="none"/>
              </w:rPr>
            </w:r>
            <w:r>
              <w:rPr>
                <w:rFonts w:ascii="Tinos" w:hAnsi="Tinos" w:cs="Tinos"/>
                <w:highlight w:val="none"/>
              </w:rPr>
            </w:r>
          </w:p>
          <w:p>
            <w:pPr>
              <w:pStyle w:val="1014"/>
              <w:ind w:left="0" w:right="0" w:firstLine="0"/>
              <w:spacing w:before="0" w:beforeAutospacing="0" w:after="0" w:afterAutospacing="0"/>
              <w:rPr>
                <w:rFonts w:ascii="Tinos" w:hAnsi="Tinos" w:cs="Tinos"/>
                <w:highlight w:val="none"/>
              </w:rPr>
            </w:pPr>
            <w:r>
              <w:rPr>
                <w:rFonts w:ascii="Tinos" w:hAnsi="Tinos" w:eastAsia="Tinos" w:cs="Tinos"/>
                <w:highlight w:val="none"/>
              </w:rPr>
              <w:t xml:space="preserve">Видеокарта и монитор: </w:t>
            </w:r>
            <w:r>
              <w:rPr>
                <w:rFonts w:ascii="Tinos" w:hAnsi="Tinos" w:eastAsia="Tinos" w:cs="Tinos"/>
                <w:highlight w:val="none"/>
              </w:rPr>
            </w:r>
            <w:r>
              <w:rPr>
                <w:rFonts w:ascii="Tinos" w:hAnsi="Tinos" w:cs="Tinos"/>
                <w:highlight w:val="none"/>
              </w:rPr>
            </w:r>
          </w:p>
          <w:p>
            <w:pPr>
              <w:pStyle w:val="1014"/>
              <w:ind w:left="425" w:right="0" w:firstLine="0"/>
              <w:spacing w:before="0" w:beforeAutospacing="0" w:after="0" w:afterAutospacing="0"/>
              <w:rPr>
                <w:rFonts w:ascii="Tinos" w:hAnsi="Tinos" w:cs="Tinos"/>
                <w:highlight w:val="none"/>
              </w:rPr>
            </w:pPr>
            <w:r>
              <w:rPr>
                <w:rFonts w:ascii="Tinos" w:hAnsi="Tinos" w:eastAsia="Tinos" w:cs="Tinos"/>
                <w:highlight w:val="none"/>
              </w:rPr>
              <w:t xml:space="preserve">разрешение не менее 1366 по горизонтали, не менее 768 по вертикали; </w:t>
            </w:r>
            <w:r>
              <w:rPr>
                <w:rFonts w:ascii="Tinos" w:hAnsi="Tinos" w:eastAsia="Tinos" w:cs="Tinos"/>
                <w:highlight w:val="none"/>
              </w:rPr>
            </w:r>
            <w:r>
              <w:rPr>
                <w:rFonts w:ascii="Tinos" w:hAnsi="Tinos" w:cs="Tinos"/>
                <w:highlight w:val="none"/>
              </w:rPr>
            </w:r>
          </w:p>
          <w:p>
            <w:pPr>
              <w:pStyle w:val="1014"/>
              <w:ind w:left="425" w:right="0" w:firstLine="0"/>
              <w:spacing w:before="0" w:beforeAutospacing="0" w:after="0" w:afterAutospacing="0"/>
              <w:rPr>
                <w:rFonts w:ascii="Tinos" w:hAnsi="Tinos" w:cs="Tinos"/>
                <w:highlight w:val="none"/>
              </w:rPr>
            </w:pPr>
            <w:r>
              <w:rPr>
                <w:rFonts w:ascii="Tinos" w:hAnsi="Tinos" w:eastAsia="Tinos" w:cs="Tinos"/>
                <w:highlight w:val="none"/>
              </w:rPr>
              <w:t xml:space="preserve">Внешний интерфейс: USB 2.0 и выше, </w:t>
            </w:r>
            <w:r>
              <w:rPr>
                <w:rFonts w:ascii="Tinos" w:hAnsi="Tinos" w:eastAsia="Tinos" w:cs="Tinos"/>
                <w:highlight w:val="none"/>
              </w:rPr>
              <w:t xml:space="preserve">рекомендуется не ниже USB 3.0, а также не менее двух свободных портов. </w:t>
            </w:r>
            <w:r>
              <w:rPr>
                <w:rFonts w:ascii="Tinos" w:hAnsi="Tinos" w:eastAsia="Tinos" w:cs="Tinos"/>
                <w:highlight w:val="none"/>
              </w:rPr>
            </w:r>
            <w:r>
              <w:rPr>
                <w:rFonts w:ascii="Tinos" w:hAnsi="Tinos" w:cs="Tinos"/>
                <w:highlight w:val="none"/>
              </w:rPr>
            </w:r>
          </w:p>
          <w:p>
            <w:pPr>
              <w:pStyle w:val="1014"/>
              <w:ind w:left="425" w:right="0" w:firstLine="0"/>
              <w:spacing w:before="0" w:beforeAutospacing="0" w:after="0" w:afterAutospacing="0"/>
              <w:rPr>
                <w:rFonts w:ascii="Tinos" w:hAnsi="Tinos" w:cs="Tinos"/>
                <w:highlight w:val="none"/>
              </w:rPr>
            </w:pPr>
            <w:r>
              <w:rPr>
                <w:rFonts w:ascii="Tinos" w:hAnsi="Tinos" w:eastAsia="Tinos" w:cs="Tinos"/>
                <w:highlight w:val="none"/>
              </w:rPr>
              <w:t xml:space="preserve">Манипулятор «мышь». </w:t>
            </w:r>
            <w:r>
              <w:rPr>
                <w:rFonts w:ascii="Tinos" w:hAnsi="Tinos" w:eastAsia="Tinos" w:cs="Tinos"/>
                <w:highlight w:val="none"/>
              </w:rPr>
            </w:r>
            <w:r>
              <w:rPr>
                <w:rFonts w:ascii="Tinos" w:hAnsi="Tinos" w:cs="Tinos"/>
                <w:highlight w:val="none"/>
              </w:rPr>
            </w:r>
          </w:p>
          <w:p>
            <w:pPr>
              <w:pStyle w:val="1014"/>
              <w:ind w:left="425" w:right="0" w:firstLine="0"/>
              <w:spacing w:before="0" w:beforeAutospacing="0" w:after="0" w:afterAutospacing="0"/>
              <w:rPr>
                <w:rFonts w:ascii="Tinos" w:hAnsi="Tinos" w:cs="Tinos"/>
                <w:highlight w:val="none"/>
              </w:rPr>
            </w:pPr>
            <w:r>
              <w:rPr>
                <w:rFonts w:ascii="Tinos" w:hAnsi="Tinos" w:eastAsia="Tinos" w:cs="Tinos"/>
                <w:highlight w:val="none"/>
              </w:rPr>
              <w:t xml:space="preserve">Клавиатура.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Интернет: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Наличие стабильного стационарного канала связи с выходом в сеть «Интернет».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Наличие резервного канала связи с выходом в сеть «Интернет» (USB-модем/альтернативный канал доступа в сеть «Интернет»).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Специальное ПО: </w:t>
            </w:r>
            <w:r>
              <w:rPr>
                <w:rFonts w:ascii="Tinos" w:hAnsi="Tinos" w:eastAsia="Tinos" w:cs="Tinos"/>
                <w:highlight w:val="none"/>
              </w:rPr>
              <w:t xml:space="preserve">Средство антивирусной защиты информации, имеющее действующий на весь период ЕГЭ сертификат ФСТЭК России.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Средство защиты информации от несанкционированного доступа, имеющее действующий сертификат ФСТЭК России.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Дополнительное ПО: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Google</w:t>
            </w:r>
            <w:r>
              <w:rPr>
                <w:rFonts w:ascii="Tinos" w:hAnsi="Tinos" w:eastAsia="Tinos" w:cs="Tinos"/>
                <w:highlight w:val="none"/>
              </w:rPr>
              <w:t xml:space="preserve"> </w:t>
            </w:r>
            <w:r>
              <w:rPr>
                <w:rFonts w:ascii="Tinos" w:hAnsi="Tinos" w:eastAsia="Tinos" w:cs="Tinos"/>
                <w:highlight w:val="none"/>
              </w:rPr>
              <w:t xml:space="preserve">Chrome</w:t>
            </w:r>
            <w:r>
              <w:rPr>
                <w:rFonts w:ascii="Tinos" w:hAnsi="Tinos" w:eastAsia="Tinos" w:cs="Tinos"/>
                <w:highlight w:val="none"/>
              </w:rPr>
              <w:t xml:space="preserve"> (версия 103 и выше),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w:t>
            </w:r>
            <w:r>
              <w:rPr>
                <w:rFonts w:ascii="Tinos" w:hAnsi="Tinos" w:eastAsia="Tinos" w:cs="Tinos"/>
                <w:highlight w:val="none"/>
              </w:rPr>
              <w:t xml:space="preserve">Яндекс</w:t>
            </w:r>
            <w:r>
              <w:rPr>
                <w:rFonts w:ascii="Tinos" w:hAnsi="Tinos" w:eastAsia="Tinos" w:cs="Tinos"/>
                <w:highlight w:val="none"/>
              </w:rPr>
              <w:t xml:space="preserve">. Браузер» (версия 22 и выше)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Рутокен</w:t>
            </w:r>
            <w:r>
              <w:rPr>
                <w:rFonts w:ascii="Tinos" w:hAnsi="Tinos" w:eastAsia="Tinos" w:cs="Tinos"/>
                <w:highlight w:val="none"/>
              </w:rPr>
              <w:t xml:space="preserve"> </w:t>
            </w:r>
            <w:r>
              <w:rPr>
                <w:rFonts w:ascii="Tinos" w:hAnsi="Tinos" w:eastAsia="Tinos" w:cs="Tinos"/>
                <w:highlight w:val="none"/>
              </w:rPr>
              <w:t xml:space="preserve">Плагин</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Операционные системы: </w:t>
            </w:r>
            <w:r>
              <w:rPr>
                <w:rFonts w:ascii="Tinos" w:hAnsi="Tinos" w:eastAsia="Tinos" w:cs="Tinos"/>
                <w:highlight w:val="none"/>
              </w:rPr>
              <w:t xml:space="preserve">операционные системы, на которых обеспечена поддержка </w:t>
            </w:r>
            <w:r>
              <w:rPr>
                <w:rFonts w:ascii="Tinos" w:hAnsi="Tinos" w:eastAsia="Tinos" w:cs="Tinos"/>
                <w:highlight w:val="none"/>
              </w:rPr>
              <w:t xml:space="preserve">Рутокен</w:t>
            </w:r>
            <w:r>
              <w:rPr>
                <w:rFonts w:ascii="Tinos" w:hAnsi="Tinos" w:eastAsia="Tinos" w:cs="Tinos"/>
                <w:highlight w:val="none"/>
              </w:rPr>
              <w:t xml:space="preserve"> </w:t>
            </w:r>
            <w:r>
              <w:rPr>
                <w:rFonts w:ascii="Tinos" w:hAnsi="Tinos" w:eastAsia="Tinos" w:cs="Tinos"/>
                <w:highlight w:val="none"/>
              </w:rPr>
              <w:t xml:space="preserve">Плагин</w:t>
            </w:r>
            <w:r>
              <w:rPr>
                <w:rFonts w:ascii="Tinos" w:hAnsi="Tinos" w:eastAsia="Tinos" w:cs="Tinos"/>
                <w:highlight w:val="none"/>
              </w:rPr>
              <w:t xml:space="preserve"> в допустимых браузерах </w:t>
            </w:r>
            <w:r>
              <w:rPr>
                <w:rFonts w:ascii="Tinos" w:hAnsi="Tinos" w:eastAsia="Tinos" w:cs="Tinos"/>
                <w:highlight w:val="none"/>
              </w:rPr>
            </w:r>
            <w:r>
              <w:rPr>
                <w:rFonts w:ascii="Tinos" w:hAnsi="Tinos" w:cs="Tinos"/>
                <w:highlight w:val="none"/>
              </w:rPr>
            </w:r>
          </w:p>
          <w:p>
            <w:pPr>
              <w:pStyle w:val="999"/>
              <w:spacing w:before="0" w:beforeAutospacing="0" w:after="0" w:afterAutospacing="0" w:line="262" w:lineRule="exact"/>
              <w:rPr>
                <w:rFonts w:ascii="Tinos" w:hAnsi="Tinos" w:cs="Tinos"/>
                <w:b/>
                <w:sz w:val="24"/>
                <w:szCs w:val="24"/>
                <w:highlight w:val="none"/>
              </w:rPr>
            </w:pPr>
            <w:r>
              <w:rPr>
                <w:rFonts w:ascii="Tinos" w:hAnsi="Tinos" w:eastAsia="Tinos" w:cs="Tinos"/>
                <w:b/>
                <w:bCs/>
                <w:sz w:val="24"/>
                <w:szCs w:val="24"/>
                <w:highlight w:val="none"/>
              </w:rPr>
              <w:t xml:space="preserve">Для ППЭ, использующих ЗСПД ГИА: </w:t>
            </w:r>
            <w:r>
              <w:rPr>
                <w:rFonts w:ascii="Tinos" w:hAnsi="Tinos" w:eastAsia="Tinos" w:cs="Tinos"/>
                <w:sz w:val="24"/>
                <w:szCs w:val="24"/>
                <w:highlight w:val="none"/>
              </w:rPr>
              <w:t xml:space="preserve">средство криптографической защиты информации </w:t>
            </w:r>
            <w:r>
              <w:rPr>
                <w:rFonts w:ascii="Tinos" w:hAnsi="Tinos" w:eastAsia="Tinos" w:cs="Tinos"/>
                <w:sz w:val="24"/>
                <w:szCs w:val="24"/>
                <w:highlight w:val="none"/>
              </w:rPr>
              <w:t xml:space="preserve">ViPNet</w:t>
            </w:r>
            <w:r>
              <w:rPr>
                <w:rFonts w:ascii="Tinos" w:hAnsi="Tinos" w:eastAsia="Tinos" w:cs="Tinos"/>
                <w:sz w:val="24"/>
                <w:szCs w:val="24"/>
                <w:highlight w:val="none"/>
              </w:rPr>
              <w:t xml:space="preserve"> </w:t>
            </w:r>
            <w:r>
              <w:rPr>
                <w:rFonts w:ascii="Tinos" w:hAnsi="Tinos" w:eastAsia="Tinos" w:cs="Tinos"/>
                <w:sz w:val="24"/>
                <w:szCs w:val="24"/>
                <w:highlight w:val="none"/>
              </w:rPr>
              <w:t xml:space="preserve">Client</w:t>
            </w:r>
            <w:r>
              <w:rPr>
                <w:rFonts w:ascii="Tinos" w:hAnsi="Tinos" w:eastAsia="Tinos" w:cs="Tinos"/>
                <w:sz w:val="24"/>
                <w:szCs w:val="24"/>
                <w:highlight w:val="none"/>
              </w:rPr>
              <w:t xml:space="preserve">, совместимое с ЗСПД ГИА и имеющее действующий сертификат ФСБ России </w:t>
            </w:r>
            <w:r>
              <w:rPr>
                <w:rFonts w:ascii="Tinos" w:hAnsi="Tinos" w:cs="Tinos"/>
                <w:b/>
                <w:sz w:val="24"/>
                <w:szCs w:val="24"/>
                <w:highlight w:val="none"/>
              </w:rPr>
            </w:r>
            <w:r>
              <w:rPr>
                <w:rFonts w:ascii="Tinos" w:hAnsi="Tinos" w:cs="Tinos"/>
                <w:b/>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1"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sz w:val="24"/>
                <w:szCs w:val="24"/>
                <w:highlight w:val="none"/>
              </w:rPr>
              <w:t xml:space="preserve">Станция</w:t>
            </w:r>
            <w:r>
              <w:rPr>
                <w:rFonts w:ascii="Tinos" w:hAnsi="Tinos" w:eastAsia="Tinos" w:cs="Tinos"/>
                <w:sz w:val="24"/>
                <w:szCs w:val="24"/>
                <w:highlight w:val="none"/>
              </w:rPr>
              <w:t xml:space="preserve"> </w:t>
            </w:r>
            <w:r>
              <w:rPr>
                <w:rFonts w:ascii="Tinos" w:hAnsi="Tinos" w:eastAsia="Tinos" w:cs="Tinos"/>
                <w:sz w:val="24"/>
                <w:szCs w:val="24"/>
                <w:highlight w:val="none"/>
                <w:lang w:val="ru-RU"/>
              </w:rPr>
              <w:t xml:space="preserve">Штаба</w:t>
            </w:r>
            <w:r>
              <w:rPr>
                <w:rFonts w:ascii="Tinos" w:hAnsi="Tinos" w:eastAsia="Tinos" w:cs="Tinos"/>
                <w:sz w:val="24"/>
                <w:szCs w:val="24"/>
                <w:highlight w:val="none"/>
              </w:rPr>
              <w:t xml:space="preserve"> ППЭ </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spacing w:before="0" w:beforeAutospacing="0" w:after="0" w:afterAutospacing="0"/>
              <w:rPr>
                <w:rFonts w:ascii="Tinos" w:hAnsi="Tinos" w:cs="Tinos"/>
                <w:highlight w:val="none"/>
              </w:rPr>
            </w:pPr>
            <w:r>
              <w:rPr>
                <w:rFonts w:ascii="Tinos" w:hAnsi="Tinos" w:eastAsia="Tinos" w:cs="Tinos"/>
                <w:highlight w:val="none"/>
              </w:rPr>
              <w:t xml:space="preserve">1-2 + не менее чем 1 резервная станция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Штаба ППЭ****</w:t>
            </w:r>
            <w:r>
              <w:rPr>
                <w:rFonts w:ascii="Tinos" w:hAnsi="Tinos" w:eastAsia="Tinos" w:cs="Tinos"/>
                <w:highlight w:val="none"/>
              </w:rPr>
            </w:r>
            <w:r>
              <w:rPr>
                <w:rFonts w:ascii="Tinos" w:hAnsi="Tinos" w:cs="Tinos"/>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Процессор</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количество ядер: от 4;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частота: от 2,0 ГГц. </w:t>
            </w:r>
            <w:r>
              <w:rPr>
                <w:rFonts w:ascii="Tinos" w:hAnsi="Tinos" w:eastAsia="Tinos" w:cs="Tinos"/>
                <w:highlight w:val="none"/>
              </w:rPr>
            </w:r>
            <w:r>
              <w:rPr>
                <w:rFonts w:ascii="Tinos" w:hAnsi="Tinos" w:cs="Tinos"/>
                <w:highlight w:val="none"/>
              </w:rPr>
            </w:r>
          </w:p>
          <w:p>
            <w:pPr>
              <w:ind w:right="0" w:firstLine="0"/>
              <w:jc w:val="left"/>
              <w:spacing w:before="0" w:beforeAutospacing="0" w:after="0" w:afterAutospacing="0" w:line="240" w:lineRule="auto"/>
              <w:rPr>
                <w:rFonts w:ascii="Tinos" w:hAnsi="Tinos" w:cs="Tinos"/>
                <w:b/>
                <w:bCs/>
                <w:sz w:val="24"/>
                <w:szCs w:val="24"/>
                <w:highlight w:val="none"/>
              </w:rPr>
            </w:pPr>
            <w:r>
              <w:rPr>
                <w:rFonts w:ascii="Tinos" w:hAnsi="Tinos" w:eastAsia="Tinos" w:cs="Tinos"/>
                <w:b/>
                <w:bCs/>
                <w:sz w:val="24"/>
                <w:szCs w:val="24"/>
                <w:highlight w:val="none"/>
                <w:lang w:val="ru-RU"/>
              </w:rPr>
              <w:t xml:space="preserve">Оперативная память: </w:t>
            </w:r>
            <w:r>
              <w:rPr>
                <w:rFonts w:ascii="Tinos" w:hAnsi="Tinos" w:cs="Tinos"/>
                <w:b/>
                <w:bCs/>
                <w:sz w:val="24"/>
                <w:szCs w:val="24"/>
                <w:highlight w:val="none"/>
              </w:rPr>
            </w:r>
            <w:r>
              <w:rPr>
                <w:rFonts w:ascii="Tinos" w:hAnsi="Tinos" w:cs="Tinos"/>
                <w:b/>
                <w:bCs/>
                <w:sz w:val="24"/>
                <w:szCs w:val="24"/>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до 50 участников: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от 4 Гбайт;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доступная (свободная) память для работы ПО (неиспользуемая прочими приложениями) - не менее 2 Гбайт;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свыше 50 участников: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от 8 Гбайт;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доступная (свободная) память для работы ПО (неиспользуемая прочими приложениями) - не </w:t>
            </w:r>
            <w:r>
              <w:rPr>
                <w:rFonts w:ascii="Tinos" w:hAnsi="Tinos" w:eastAsia="Tinos" w:cs="Tinos"/>
                <w:highlight w:val="none"/>
              </w:rPr>
              <w:t xml:space="preserve">менее 4 Гбайт.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Свободное дисковое пространство</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о</w:t>
            </w:r>
            <w:r>
              <w:rPr>
                <w:rFonts w:ascii="Tinos" w:hAnsi="Tinos" w:eastAsia="Tinos" w:cs="Tinos"/>
                <w:highlight w:val="none"/>
              </w:rPr>
              <w:t xml:space="preserve">т 100 Г</w:t>
            </w:r>
            <w:r>
              <w:rPr>
                <w:rFonts w:ascii="Tinos" w:hAnsi="Tinos" w:eastAsia="Tinos" w:cs="Tinos"/>
                <w:highlight w:val="none"/>
              </w:rPr>
              <w:t xml:space="preserve">байт на начало экзаменационного периода;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не менее 20% от общего объема жесткого диска в течение экзаменационного периода.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Прочее оборудование</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Видеокарта и монитор: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разрешение не менее 1280 по горизонтали, не менее 1024 по вертикали;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диагональ экрана: от 13 дюймов для ноутбуков, от 15 дюймов мониторов и моноблоков, </w:t>
            </w:r>
            <w:r>
              <w:rPr>
                <w:rFonts w:ascii="Tinos" w:hAnsi="Tinos" w:eastAsia="Tinos" w:cs="Tinos"/>
                <w:highlight w:val="none"/>
              </w:rPr>
            </w:r>
            <w:r>
              <w:rPr>
                <w:rFonts w:ascii="Tinos" w:hAnsi="Tinos" w:cs="Tinos"/>
                <w:highlight w:val="none"/>
              </w:rPr>
            </w:r>
          </w:p>
          <w:p>
            <w:pPr>
              <w:pStyle w:val="1014"/>
              <w:ind w:left="283" w:right="0" w:firstLine="0"/>
              <w:spacing w:before="0" w:beforeAutospacing="0" w:after="0" w:afterAutospacing="0"/>
              <w:rPr>
                <w:rFonts w:ascii="Tinos" w:hAnsi="Tinos" w:cs="Tinos"/>
                <w:highlight w:val="none"/>
              </w:rPr>
            </w:pPr>
            <w:r>
              <w:rPr>
                <w:rFonts w:ascii="Tinos" w:hAnsi="Tinos" w:eastAsia="Tinos" w:cs="Tinos"/>
                <w:highlight w:val="none"/>
              </w:rPr>
              <w:t xml:space="preserve">в настройках экрана в операционной системе значение параметра, отвечающего за изменение размера текста, приложений и других элементов, должно быть установлено – 100%.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Внешний интерфейс: USB 2.0 и выше, рекомендуется не ниже USB 3.0, а также не менее двух свободных портов***.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Манипулятор «мышь».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Клавиатура.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Система бесперебойного питания (рекомендуется): выходная мощность, соответствующая потребляемой мощности подключённого компьютера (ноутбука), время работы при полной нагрузке не менее 15 мин.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Локальный или сетевой TWAIN–совместимый сканер: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Формат бумаги</w:t>
            </w:r>
            <w:r>
              <w:rPr>
                <w:rFonts w:ascii="Tinos" w:hAnsi="Tinos" w:eastAsia="Tinos" w:cs="Tinos"/>
                <w:highlight w:val="none"/>
              </w:rPr>
              <w:t xml:space="preserve">: не менее А</w:t>
            </w:r>
            <w:r>
              <w:rPr>
                <w:rFonts w:ascii="Tinos" w:hAnsi="Tinos" w:eastAsia="Tinos" w:cs="Tinos"/>
                <w:highlight w:val="none"/>
              </w:rPr>
              <w:t xml:space="preserve">4</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Разрешение сканирования</w:t>
            </w:r>
            <w:r>
              <w:rPr>
                <w:rFonts w:ascii="Tinos" w:hAnsi="Tinos" w:eastAsia="Tinos" w:cs="Tinos"/>
                <w:highlight w:val="none"/>
              </w:rPr>
              <w:t xml:space="preserve">: поддержка режима 300 </w:t>
            </w:r>
            <w:r>
              <w:rPr>
                <w:rFonts w:ascii="Tinos" w:hAnsi="Tinos" w:eastAsia="Tinos" w:cs="Tinos"/>
                <w:highlight w:val="none"/>
              </w:rPr>
              <w:t xml:space="preserve">dpi</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Цветность сканирования</w:t>
            </w:r>
            <w:r>
              <w:rPr>
                <w:rFonts w:ascii="Tinos" w:hAnsi="Tinos" w:eastAsia="Tinos" w:cs="Tinos"/>
                <w:highlight w:val="none"/>
              </w:rPr>
              <w:t xml:space="preserve">: </w:t>
            </w:r>
            <w:r>
              <w:rPr>
                <w:rFonts w:ascii="Tinos" w:hAnsi="Tinos" w:eastAsia="Tinos" w:cs="Tinos"/>
                <w:highlight w:val="none"/>
              </w:rPr>
              <w:t xml:space="preserve">черно-белый</w:t>
            </w:r>
            <w:r>
              <w:rPr>
                <w:rFonts w:ascii="Tinos" w:hAnsi="Tinos" w:eastAsia="Tinos" w:cs="Tinos"/>
                <w:highlight w:val="none"/>
              </w:rPr>
              <w:t xml:space="preserve">, оттенки серого.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Тип сканера</w:t>
            </w:r>
            <w:r>
              <w:rPr>
                <w:rFonts w:ascii="Tinos" w:hAnsi="Tinos" w:eastAsia="Tinos" w:cs="Tinos"/>
                <w:highlight w:val="none"/>
              </w:rPr>
              <w:t xml:space="preserve">: поточный, односторонний, с поддержкой режима сканирования ADF: автоматическая подача документов.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Операционные системы*</w:t>
            </w:r>
            <w:r>
              <w:rPr>
                <w:rFonts w:ascii="Tinos" w:hAnsi="Tinos" w:eastAsia="Tinos" w:cs="Tinos"/>
                <w:highlight w:val="none"/>
              </w:rPr>
              <w:t xml:space="preserve">: </w:t>
            </w:r>
            <w:r>
              <w:rPr>
                <w:rFonts w:ascii="Tinos" w:hAnsi="Tinos" w:eastAsia="Tinos" w:cs="Tinos"/>
                <w:highlight w:val="none"/>
              </w:rPr>
              <w:t xml:space="preserve">Windows</w:t>
            </w:r>
            <w:r>
              <w:rPr>
                <w:rFonts w:ascii="Tinos" w:hAnsi="Tinos" w:eastAsia="Tinos" w:cs="Tinos"/>
                <w:highlight w:val="none"/>
              </w:rPr>
              <w:t xml:space="preserve"> 8.1/10 (сборка 1607 и выше), платформы: ia32 (x86), x64.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b/>
                <w:bCs/>
                <w:highlight w:val="none"/>
              </w:rPr>
              <w:t xml:space="preserve">Специальное ПО: </w:t>
            </w:r>
            <w:r>
              <w:rPr>
                <w:rFonts w:ascii="Tinos" w:hAnsi="Tinos" w:eastAsia="Tinos" w:cs="Tinos"/>
                <w:highlight w:val="none"/>
              </w:rPr>
              <w:t xml:space="preserve">Средство антивирусной защиты информации, имеющее действующий на весь период ЕГЭ сертификат ФСТЭК России. </w:t>
            </w:r>
            <w:r>
              <w:rPr>
                <w:rFonts w:ascii="Tinos" w:hAnsi="Tinos" w:eastAsia="Tinos" w:cs="Tinos"/>
                <w:highlight w:val="none"/>
              </w:rPr>
            </w:r>
            <w:r>
              <w:rPr>
                <w:rFonts w:ascii="Tinos" w:hAnsi="Tinos" w:cs="Tinos"/>
                <w:highlight w:val="none"/>
              </w:rPr>
            </w:r>
          </w:p>
          <w:p>
            <w:pPr>
              <w:ind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i/>
                <w:iCs/>
                <w:sz w:val="24"/>
                <w:szCs w:val="24"/>
                <w:highlight w:val="none"/>
                <w:lang w:val="ru-RU"/>
              </w:rPr>
              <w:t xml:space="preserve">Установка и запуск станции должны выполняться под учетной записью с правами локального администратора </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1"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sz w:val="24"/>
                <w:szCs w:val="24"/>
                <w:highlight w:val="none"/>
              </w:rPr>
              <w:t xml:space="preserve">Станция</w:t>
            </w:r>
            <w:r>
              <w:rPr>
                <w:rFonts w:ascii="Tinos" w:hAnsi="Tinos" w:eastAsia="Tinos" w:cs="Tinos"/>
                <w:sz w:val="24"/>
                <w:szCs w:val="24"/>
                <w:highlight w:val="none"/>
              </w:rPr>
              <w:t xml:space="preserve"> КЕГЭ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0" w:firstLine="0"/>
              <w:jc w:val="left"/>
              <w:spacing w:before="0" w:beforeAutospacing="0" w:after="0" w:afterAutospacing="0" w:line="240" w:lineRule="auto"/>
              <w:rPr>
                <w:rFonts w:ascii="Tinos" w:hAnsi="Tinos" w:cs="Tinos"/>
                <w:sz w:val="24"/>
                <w:szCs w:val="24"/>
                <w:highlight w:val="none"/>
              </w:rPr>
            </w:pPr>
            <w:r>
              <w:rPr>
                <w:rFonts w:ascii="Tinos" w:hAnsi="Tinos" w:eastAsia="Tinos" w:cs="Tinos"/>
                <w:sz w:val="24"/>
                <w:szCs w:val="24"/>
                <w:highlight w:val="none"/>
                <w:lang w:val="ru-RU"/>
              </w:rPr>
              <w:t xml:space="preserve">По одной на каждого участника КЕГЭ + не менее одной резервной станции на каждые 5 станций КЕГЭ </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ind w:right="140"/>
              <w:jc w:val="both"/>
              <w:spacing w:before="0" w:beforeAutospacing="0" w:after="0" w:afterAutospacing="0"/>
              <w:rPr>
                <w:rFonts w:ascii="Tinos" w:hAnsi="Tinos" w:cs="Tinos"/>
                <w:highlight w:val="none"/>
              </w:rPr>
            </w:pPr>
            <w:r>
              <w:rPr>
                <w:rFonts w:ascii="Tinos" w:hAnsi="Tinos" w:eastAsia="Tinos" w:cs="Tinos"/>
                <w:b/>
                <w:bCs/>
                <w:highlight w:val="none"/>
              </w:rPr>
              <w:t xml:space="preserve">Процессор</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количество ядер: от 4;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частота: от 2,0 ГГц. </w:t>
            </w:r>
            <w:r>
              <w:rPr>
                <w:rFonts w:ascii="Tinos" w:hAnsi="Tinos" w:eastAsia="Tinos" w:cs="Tinos"/>
                <w:highlight w:val="none"/>
              </w:rPr>
            </w:r>
            <w:r>
              <w:rPr>
                <w:rFonts w:ascii="Tinos" w:hAnsi="Tinos" w:cs="Tinos"/>
                <w:highlight w:val="none"/>
              </w:rPr>
            </w:r>
          </w:p>
          <w:p>
            <w:pPr>
              <w:ind w:right="140" w:firstLine="0"/>
              <w:spacing w:before="0" w:beforeAutospacing="0" w:after="0" w:afterAutospacing="0" w:line="240" w:lineRule="auto"/>
              <w:tabs>
                <w:tab w:val="left" w:pos="2981" w:leader="none"/>
                <w:tab w:val="left" w:pos="3406" w:leader="none"/>
                <w:tab w:val="left" w:pos="6100" w:leader="none"/>
              </w:tabs>
              <w:rPr>
                <w:rFonts w:ascii="Tinos" w:hAnsi="Tinos" w:cs="Tinos"/>
                <w:sz w:val="24"/>
                <w:szCs w:val="24"/>
                <w:highlight w:val="none"/>
              </w:rPr>
            </w:pPr>
            <w:r>
              <w:rPr>
                <w:rFonts w:ascii="Tinos" w:hAnsi="Tinos" w:eastAsia="Tinos" w:cs="Tinos"/>
                <w:b/>
                <w:bCs/>
                <w:sz w:val="24"/>
                <w:szCs w:val="24"/>
                <w:highlight w:val="none"/>
                <w:lang w:val="ru-RU"/>
              </w:rPr>
              <w:t xml:space="preserve">Оперативная память: </w:t>
            </w:r>
            <w:r>
              <w:rPr>
                <w:rFonts w:ascii="Tinos" w:hAnsi="Tinos" w:eastAsia="Tinos" w:cs="Tinos"/>
                <w:sz w:val="24"/>
                <w:szCs w:val="24"/>
                <w:highlight w:val="none"/>
                <w:lang w:val="ru-RU"/>
              </w:rPr>
              <w:t xml:space="preserve">от 4 Гбайт;</w:t>
            </w:r>
            <w:r>
              <w:rPr>
                <w:rFonts w:ascii="Tinos" w:hAnsi="Tinos" w:cs="Tinos"/>
                <w:sz w:val="24"/>
                <w:szCs w:val="24"/>
                <w:highlight w:val="none"/>
              </w:rPr>
            </w:r>
            <w:r>
              <w:rPr>
                <w:rFonts w:ascii="Tinos" w:hAnsi="Tinos" w:cs="Tinos"/>
                <w:sz w:val="24"/>
                <w:szCs w:val="24"/>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доступная (свободная) память для работы ПО (неиспользуемая прочими приложениями): не менее 1 Гбайт.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b/>
                <w:bCs/>
                <w:highlight w:val="none"/>
              </w:rPr>
              <w:t xml:space="preserve">Свободное дисковое пространство: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от 100 Гбайт на начало экзаменационного периода;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не менее 20% от общего объема жесткого диска в течение экзаменационного периода.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b/>
                <w:bCs/>
                <w:highlight w:val="none"/>
              </w:rPr>
              <w:t xml:space="preserve">Прочее оборудование: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Видеокарта и монитор: </w:t>
            </w:r>
            <w:r>
              <w:rPr>
                <w:rFonts w:ascii="Tinos" w:hAnsi="Tinos" w:eastAsia="Tinos" w:cs="Tinos"/>
                <w:highlight w:val="none"/>
              </w:rPr>
            </w:r>
            <w:r>
              <w:rPr>
                <w:rFonts w:ascii="Tinos" w:hAnsi="Tinos" w:cs="Tinos"/>
                <w:highlight w:val="none"/>
              </w:rPr>
            </w:r>
          </w:p>
          <w:p>
            <w:pPr>
              <w:pStyle w:val="1014"/>
              <w:ind w:left="283" w:right="140" w:firstLine="0"/>
              <w:jc w:val="both"/>
              <w:spacing w:before="0" w:beforeAutospacing="0" w:after="0" w:afterAutospacing="0"/>
              <w:rPr>
                <w:rFonts w:ascii="Tinos" w:hAnsi="Tinos" w:cs="Tinos"/>
                <w:highlight w:val="none"/>
              </w:rPr>
            </w:pPr>
            <w:r>
              <w:rPr>
                <w:rFonts w:ascii="Tinos" w:hAnsi="Tinos" w:eastAsia="Tinos" w:cs="Tinos"/>
                <w:highlight w:val="none"/>
              </w:rPr>
              <w:t xml:space="preserve">разрешение не менее 1280 по горизонтали, не менее 1024 по вертикали; </w:t>
            </w:r>
            <w:r>
              <w:rPr>
                <w:rFonts w:ascii="Tinos" w:hAnsi="Tinos" w:eastAsia="Tinos" w:cs="Tinos"/>
                <w:highlight w:val="none"/>
              </w:rPr>
            </w:r>
            <w:r>
              <w:rPr>
                <w:rFonts w:ascii="Tinos" w:hAnsi="Tinos" w:cs="Tinos"/>
                <w:highlight w:val="none"/>
              </w:rPr>
            </w:r>
          </w:p>
          <w:p>
            <w:pPr>
              <w:pStyle w:val="1014"/>
              <w:ind w:left="283" w:right="140" w:firstLine="0"/>
              <w:jc w:val="both"/>
              <w:spacing w:before="0" w:beforeAutospacing="0" w:after="0" w:afterAutospacing="0"/>
              <w:rPr>
                <w:rFonts w:ascii="Tinos" w:hAnsi="Tinos" w:cs="Tinos"/>
                <w:highlight w:val="none"/>
              </w:rPr>
            </w:pPr>
            <w:r>
              <w:rPr>
                <w:rFonts w:ascii="Tinos" w:hAnsi="Tinos" w:eastAsia="Tinos" w:cs="Tinos"/>
                <w:highlight w:val="none"/>
              </w:rPr>
              <w:t xml:space="preserve">диагональ экрана: от 13 дюймов для ноутбуков, от 15 дюймов мониторов и моноблоков: </w:t>
            </w:r>
            <w:r>
              <w:rPr>
                <w:rFonts w:ascii="Tinos" w:hAnsi="Tinos" w:eastAsia="Tinos" w:cs="Tinos"/>
                <w:highlight w:val="none"/>
              </w:rPr>
            </w:r>
            <w:r>
              <w:rPr>
                <w:rFonts w:ascii="Tinos" w:hAnsi="Tinos" w:cs="Tinos"/>
                <w:highlight w:val="none"/>
              </w:rPr>
            </w:r>
          </w:p>
          <w:p>
            <w:pPr>
              <w:pStyle w:val="1014"/>
              <w:ind w:left="283" w:right="140" w:firstLine="0"/>
              <w:jc w:val="both"/>
              <w:spacing w:before="0" w:beforeAutospacing="0" w:after="0" w:afterAutospacing="0"/>
              <w:rPr>
                <w:rFonts w:ascii="Tinos" w:hAnsi="Tinos" w:cs="Tinos"/>
                <w:highlight w:val="none"/>
              </w:rPr>
            </w:pPr>
            <w:r>
              <w:rPr>
                <w:rFonts w:ascii="Tinos" w:hAnsi="Tinos" w:eastAsia="Tinos" w:cs="Tinos"/>
                <w:highlight w:val="none"/>
              </w:rPr>
              <w:t xml:space="preserve">в настройках экрана в операционной системе значение параметра, отвечающего за изменение размера текста, приложений и других элементов, должно быть установлено – 100%.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Внешний интерфейс: USB 2.0 и выше, рекомендуется не ниже USB 3.0, а также не менее двух свободных**.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Манипулятор «мышь».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Клавиатура.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b/>
                <w:bCs/>
                <w:highlight w:val="none"/>
              </w:rPr>
              <w:t xml:space="preserve">Операционные системы*</w:t>
            </w:r>
            <w:r>
              <w:rPr>
                <w:rFonts w:ascii="Tinos" w:hAnsi="Tinos" w:eastAsia="Tinos" w:cs="Tinos"/>
                <w:highlight w:val="none"/>
              </w:rPr>
              <w:t xml:space="preserve">: </w:t>
            </w:r>
            <w:r>
              <w:rPr>
                <w:rFonts w:ascii="Tinos" w:hAnsi="Tinos" w:eastAsia="Tinos" w:cs="Tinos"/>
                <w:highlight w:val="none"/>
              </w:rPr>
              <w:t xml:space="preserve">Windows</w:t>
            </w:r>
            <w:r>
              <w:rPr>
                <w:rFonts w:ascii="Tinos" w:hAnsi="Tinos" w:eastAsia="Tinos" w:cs="Tinos"/>
                <w:highlight w:val="none"/>
              </w:rPr>
              <w:t xml:space="preserve"> 8.1/10 (сборка 1607 и выше), платформы: ia32 (x86), x64.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b/>
                <w:bCs/>
                <w:highlight w:val="none"/>
              </w:rPr>
              <w:t xml:space="preserve">Специальное ПО: </w:t>
            </w:r>
            <w:r>
              <w:rPr>
                <w:rFonts w:ascii="Tinos" w:hAnsi="Tinos" w:eastAsia="Tinos" w:cs="Tinos"/>
                <w:highlight w:val="none"/>
              </w:rPr>
              <w:t xml:space="preserve">Средство антивирусной защиты информации, имеющее действующий на весь период ЕГЭ сертификат ФСТЭК России. </w:t>
            </w:r>
            <w:r>
              <w:rPr>
                <w:rFonts w:ascii="Tinos" w:hAnsi="Tinos" w:eastAsia="Tinos" w:cs="Tinos"/>
                <w:highlight w:val="none"/>
              </w:rPr>
            </w:r>
            <w:r>
              <w:rPr>
                <w:rFonts w:ascii="Tinos" w:hAnsi="Tinos" w:cs="Tinos"/>
                <w:highlight w:val="none"/>
              </w:rPr>
            </w:r>
          </w:p>
          <w:p>
            <w:pPr>
              <w:pStyle w:val="1014"/>
              <w:ind w:right="140"/>
              <w:jc w:val="both"/>
              <w:spacing w:before="0" w:beforeAutospacing="0" w:after="0" w:afterAutospacing="0"/>
              <w:rPr>
                <w:rFonts w:ascii="Tinos" w:hAnsi="Tinos" w:cs="Tinos"/>
                <w:highlight w:val="none"/>
              </w:rPr>
            </w:pPr>
            <w:r>
              <w:rPr>
                <w:rFonts w:ascii="Tinos" w:hAnsi="Tinos" w:eastAsia="Tinos" w:cs="Tinos"/>
                <w:highlight w:val="none"/>
              </w:rPr>
              <w:t xml:space="preserve">ПО, </w:t>
            </w:r>
            <w:r>
              <w:rPr>
                <w:rFonts w:ascii="Tinos" w:hAnsi="Tinos" w:eastAsia="Tinos" w:cs="Tinos"/>
                <w:highlight w:val="none"/>
              </w:rPr>
              <w:t xml:space="preserve">предоставляемое</w:t>
            </w:r>
            <w:r>
              <w:rPr>
                <w:rFonts w:ascii="Tinos" w:hAnsi="Tinos" w:eastAsia="Tinos" w:cs="Tinos"/>
                <w:highlight w:val="none"/>
              </w:rPr>
              <w:t xml:space="preserve"> у</w:t>
            </w:r>
            <w:r>
              <w:rPr>
                <w:rFonts w:ascii="Tinos" w:hAnsi="Tinos" w:eastAsia="Tinos" w:cs="Tinos"/>
                <w:highlight w:val="none"/>
              </w:rPr>
              <w:t xml:space="preserve">частнику экзамена, перечень которого утвержден Министерством образования области</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ind w:right="140" w:firstLine="0"/>
              <w:spacing w:before="0" w:beforeAutospacing="0" w:after="0" w:afterAutospacing="0" w:line="240" w:lineRule="auto"/>
              <w:tabs>
                <w:tab w:val="left" w:pos="2981" w:leader="none"/>
                <w:tab w:val="left" w:pos="3406" w:leader="none"/>
                <w:tab w:val="left" w:pos="6100" w:leader="none"/>
              </w:tabs>
              <w:rPr>
                <w:rFonts w:ascii="Tinos" w:hAnsi="Tinos" w:cs="Tinos"/>
                <w:sz w:val="24"/>
                <w:szCs w:val="24"/>
                <w:highlight w:val="none"/>
              </w:rPr>
            </w:pPr>
            <w:r>
              <w:rPr>
                <w:rFonts w:ascii="Tinos" w:hAnsi="Tinos" w:eastAsia="Tinos" w:cs="Tinos"/>
                <w:i/>
                <w:iCs/>
                <w:sz w:val="24"/>
                <w:szCs w:val="24"/>
                <w:highlight w:val="none"/>
                <w:lang w:val="ru-RU"/>
              </w:rPr>
              <w:t xml:space="preserve">Установка и запуск </w:t>
            </w:r>
            <w:r>
              <w:rPr>
                <w:rFonts w:ascii="Tinos" w:hAnsi="Tinos" w:eastAsia="Tinos" w:cs="Tinos"/>
                <w:i/>
                <w:iCs/>
                <w:sz w:val="24"/>
                <w:szCs w:val="24"/>
                <w:highlight w:val="none"/>
                <w:lang w:val="ru-RU"/>
              </w:rPr>
              <w:t xml:space="preserve">ПО</w:t>
            </w:r>
            <w:r>
              <w:rPr>
                <w:rFonts w:ascii="Tinos" w:hAnsi="Tinos" w:eastAsia="Tinos" w:cs="Tinos"/>
                <w:i/>
                <w:iCs/>
                <w:sz w:val="24"/>
                <w:szCs w:val="24"/>
                <w:highlight w:val="none"/>
                <w:lang w:val="ru-RU"/>
              </w:rPr>
              <w:t xml:space="preserve"> «</w:t>
            </w:r>
            <w:r>
              <w:rPr>
                <w:rFonts w:ascii="Tinos" w:hAnsi="Tinos" w:eastAsia="Tinos" w:cs="Tinos"/>
                <w:i/>
                <w:iCs/>
                <w:sz w:val="24"/>
                <w:szCs w:val="24"/>
                <w:highlight w:val="none"/>
                <w:lang w:val="ru-RU"/>
              </w:rPr>
              <w:t xml:space="preserve">Станция</w:t>
            </w:r>
            <w:r>
              <w:rPr>
                <w:rFonts w:ascii="Tinos" w:hAnsi="Tinos" w:eastAsia="Tinos" w:cs="Tinos"/>
                <w:i/>
                <w:iCs/>
                <w:sz w:val="24"/>
                <w:szCs w:val="24"/>
                <w:highlight w:val="none"/>
                <w:lang w:val="ru-RU"/>
              </w:rPr>
              <w:t xml:space="preserve"> КЕГЭ» должны выполняться под учетной записью с правами локального администратора. </w:t>
            </w:r>
            <w:r>
              <w:rPr>
                <w:rFonts w:ascii="Tinos" w:hAnsi="Tinos" w:eastAsia="Tinos" w:cs="Tinos"/>
                <w:sz w:val="24"/>
                <w:szCs w:val="24"/>
                <w:highlight w:val="none"/>
                <w:lang w:val="ru-RU"/>
              </w:rPr>
              <w:t xml:space="preserve"> </w:t>
            </w:r>
            <w:r>
              <w:rPr>
                <w:rFonts w:ascii="Tinos" w:hAnsi="Tinos" w:cs="Tinos"/>
                <w:sz w:val="24"/>
                <w:szCs w:val="24"/>
                <w:highlight w:val="none"/>
              </w:rPr>
            </w:r>
            <w:r>
              <w:rPr>
                <w:rFonts w:ascii="Tinos" w:hAnsi="Tinos" w:cs="Tinos"/>
                <w:sz w:val="24"/>
                <w:szCs w:val="24"/>
                <w:highlight w:val="none"/>
              </w:rPr>
            </w:r>
          </w:p>
        </w:tc>
      </w:tr>
      <w:tr>
        <w:tblPrEx/>
        <w:trPr>
          <w:trHeight w:val="20"/>
        </w:trPr>
        <w:tc>
          <w:tcPr>
            <w:gridSpan w:val="3"/>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0" w:firstLine="0"/>
              <w:jc w:val="left"/>
              <w:spacing w:before="0" w:beforeAutospacing="0" w:after="0" w:afterAutospacing="0" w:line="240" w:lineRule="auto"/>
              <w:rPr>
                <w:rFonts w:ascii="Tinos" w:hAnsi="Tinos" w:cs="Tinos"/>
                <w:b/>
                <w:sz w:val="24"/>
                <w:szCs w:val="24"/>
                <w:highlight w:val="none"/>
              </w:rPr>
            </w:pPr>
            <w:r>
              <w:rPr>
                <w:rFonts w:ascii="Tinos" w:hAnsi="Tinos" w:eastAsia="Tinos" w:cs="Tinos"/>
                <w:b/>
                <w:i/>
                <w:sz w:val="24"/>
                <w:szCs w:val="24"/>
                <w:highlight w:val="none"/>
                <w:lang w:val="ru-RU"/>
              </w:rPr>
              <w:t xml:space="preserve">Дополнительное оборудование и расходные материалы</w:t>
            </w:r>
            <w:r>
              <w:rPr>
                <w:rFonts w:ascii="Tinos" w:hAnsi="Tinos" w:cs="Tinos"/>
                <w:b/>
                <w:sz w:val="24"/>
                <w:szCs w:val="24"/>
                <w:highlight w:val="none"/>
              </w:rPr>
            </w:r>
            <w:r>
              <w:rPr>
                <w:rFonts w:ascii="Tinos" w:hAnsi="Tinos" w:cs="Tinos"/>
                <w:b/>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0" w:firstLine="0"/>
              <w:spacing w:before="0" w:beforeAutospacing="0" w:after="0" w:afterAutospacing="0" w:line="259" w:lineRule="auto"/>
              <w:rPr>
                <w:rFonts w:ascii="Tinos" w:hAnsi="Tinos" w:cs="Tinos"/>
                <w:sz w:val="24"/>
                <w:szCs w:val="24"/>
                <w:highlight w:val="none"/>
              </w:rPr>
            </w:pPr>
            <w:r>
              <w:rPr>
                <w:rFonts w:ascii="Tinos" w:hAnsi="Tinos" w:eastAsia="Tinos" w:cs="Tinos"/>
                <w:sz w:val="24"/>
                <w:szCs w:val="24"/>
                <w:highlight w:val="none"/>
              </w:rPr>
              <w:t xml:space="preserve">Токен</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386" w:firstLine="0"/>
              <w:spacing w:before="0" w:beforeAutospacing="0" w:after="0" w:afterAutospacing="0" w:line="241" w:lineRule="auto"/>
              <w:rPr>
                <w:rFonts w:ascii="Tinos" w:hAnsi="Tinos" w:cs="Tinos"/>
                <w:sz w:val="24"/>
                <w:szCs w:val="24"/>
                <w:highlight w:val="none"/>
              </w:rPr>
            </w:pPr>
            <w:r>
              <w:rPr>
                <w:rFonts w:ascii="Tinos" w:hAnsi="Tinos" w:eastAsia="Tinos" w:cs="Tinos"/>
                <w:sz w:val="24"/>
                <w:szCs w:val="24"/>
                <w:highlight w:val="none"/>
                <w:lang w:val="ru-RU"/>
              </w:rPr>
              <w:t xml:space="preserve">по 1 на каждого члена ГЭК, не менее 2 на ППЭ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Защищенный внешний носитель с записанным ключом шифрования. </w:t>
            </w:r>
            <w:r>
              <w:rPr>
                <w:rFonts w:ascii="Tinos" w:hAnsi="Tinos" w:eastAsia="Tinos" w:cs="Tinos"/>
                <w:highlight w:val="none"/>
              </w:rPr>
            </w:r>
            <w:r>
              <w:rPr>
                <w:rFonts w:ascii="Tinos" w:hAnsi="Tinos" w:cs="Tinos"/>
                <w:highlight w:val="none"/>
              </w:rPr>
            </w:r>
          </w:p>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Токен</w:t>
            </w:r>
            <w:r>
              <w:rPr>
                <w:rFonts w:ascii="Tinos" w:hAnsi="Tinos" w:eastAsia="Tinos" w:cs="Tinos"/>
                <w:highlight w:val="none"/>
              </w:rPr>
              <w:t xml:space="preserve"> члена ГЭК используется для авторизации члена ГЭК и подтверждения действий в личном кабинете ППЭ; </w:t>
            </w:r>
            <w:r>
              <w:rPr>
                <w:rFonts w:ascii="Tinos" w:hAnsi="Tinos" w:eastAsia="Tinos" w:cs="Tinos"/>
                <w:highlight w:val="none"/>
              </w:rPr>
            </w:r>
            <w:r>
              <w:rPr>
                <w:rFonts w:ascii="Tinos" w:hAnsi="Tinos" w:cs="Tinos"/>
                <w:highlight w:val="none"/>
              </w:rPr>
            </w:r>
          </w:p>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для активации ключа доступа на станциях организатора, станциях Штаба ППЭ и станциях КЕГЭ; </w:t>
            </w:r>
            <w:r>
              <w:rPr>
                <w:rFonts w:ascii="Tinos" w:hAnsi="Tinos" w:eastAsia="Tinos" w:cs="Tinos"/>
                <w:highlight w:val="none"/>
              </w:rPr>
            </w:r>
            <w:r>
              <w:rPr>
                <w:rFonts w:ascii="Tinos" w:hAnsi="Tinos" w:cs="Tinos"/>
                <w:highlight w:val="none"/>
              </w:rPr>
            </w:r>
          </w:p>
          <w:p>
            <w:pPr>
              <w:ind w:right="0" w:firstLine="0"/>
              <w:spacing w:before="0" w:beforeAutospacing="0" w:after="0" w:afterAutospacing="0" w:line="259" w:lineRule="auto"/>
              <w:rPr>
                <w:rFonts w:ascii="Tinos" w:hAnsi="Tinos" w:cs="Tinos"/>
                <w:sz w:val="24"/>
                <w:szCs w:val="24"/>
                <w:highlight w:val="cyan"/>
              </w:rPr>
            </w:pPr>
            <w:r>
              <w:rPr>
                <w:rFonts w:ascii="Tinos" w:hAnsi="Tinos" w:eastAsia="Tinos" w:cs="Tinos"/>
                <w:sz w:val="24"/>
                <w:szCs w:val="24"/>
                <w:highlight w:val="none"/>
                <w:lang w:val="ru-RU"/>
              </w:rPr>
              <w:t xml:space="preserve">для формирования зашифрованного пакета с электронными образами бланков и форм ППЭ на станции организатора, станции Штаба ППЭ для формирования зашифрованных пакетов с ответами участников КЕГЭ на станциях КЕГЭ </w:t>
            </w:r>
            <w:r>
              <w:rPr>
                <w:rFonts w:ascii="Tinos" w:hAnsi="Tinos" w:cs="Tinos"/>
                <w:sz w:val="24"/>
                <w:szCs w:val="24"/>
                <w:highlight w:val="cyan"/>
              </w:rPr>
            </w:r>
            <w:r>
              <w:rPr>
                <w:rFonts w:ascii="Tinos" w:hAnsi="Tinos" w:cs="Tinos"/>
                <w:sz w:val="24"/>
                <w:szCs w:val="24"/>
                <w:highlight w:val="cyan"/>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ind w:left="-2"/>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Флеш-накопитель</w:t>
            </w:r>
            <w:r>
              <w:rPr>
                <w:rFonts w:ascii="Tinos" w:hAnsi="Tinos" w:eastAsia="Tinos" w:cs="Tinos"/>
                <w:sz w:val="24"/>
                <w:szCs w:val="24"/>
                <w:highlight w:val="none"/>
              </w:rPr>
              <w:t xml:space="preserve"> для </w:t>
            </w:r>
            <w:r>
              <w:rPr>
                <w:rFonts w:ascii="Tinos" w:hAnsi="Tinos" w:eastAsia="Tinos" w:cs="Tinos"/>
                <w:spacing w:val="-1"/>
                <w:sz w:val="24"/>
                <w:szCs w:val="24"/>
                <w:highlight w:val="none"/>
              </w:rPr>
              <w:t xml:space="preserve">переноса</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данных между</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станциями</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ППЭ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ind w:left="-2"/>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От 1 + не</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менее 1</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резервного</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spacing w:before="0" w:beforeAutospacing="0" w:after="0" w:afterAutospacing="0"/>
              <w:rPr>
                <w:rFonts w:ascii="Tinos" w:hAnsi="Tinos" w:cs="Tinos"/>
                <w:highlight w:val="none"/>
              </w:rPr>
            </w:pPr>
            <w:r>
              <w:rPr>
                <w:rFonts w:ascii="Tinos" w:hAnsi="Tinos" w:eastAsia="Tinos" w:cs="Tinos"/>
                <w:highlight w:val="none"/>
              </w:rPr>
              <w:t xml:space="preserve">Флеш-накопитель</w:t>
            </w:r>
            <w:r>
              <w:rPr>
                <w:rFonts w:ascii="Tinos" w:hAnsi="Tinos" w:eastAsia="Tinos" w:cs="Tinos"/>
                <w:highlight w:val="none"/>
              </w:rPr>
              <w:t xml:space="preserve"> используется техническим специалистом для переноса данных между станциями ППЭ. </w:t>
            </w:r>
            <w:r>
              <w:rPr>
                <w:rFonts w:ascii="Tinos" w:hAnsi="Tinos" w:eastAsia="Tinos" w:cs="Tinos"/>
                <w:highlight w:val="none"/>
              </w:rPr>
            </w:r>
            <w:r>
              <w:rPr>
                <w:rFonts w:ascii="Tinos" w:hAnsi="Tinos" w:cs="Tinos"/>
                <w:highlight w:val="none"/>
              </w:rPr>
            </w:r>
          </w:p>
          <w:p>
            <w:pPr>
              <w:pStyle w:val="1014"/>
              <w:spacing w:before="0" w:beforeAutospacing="0" w:after="0" w:afterAutospacing="0"/>
              <w:rPr>
                <w:rFonts w:ascii="Tinos" w:hAnsi="Tinos" w:cs="Tinos"/>
                <w:highlight w:val="none"/>
              </w:rPr>
            </w:pPr>
            <w:r>
              <w:rPr>
                <w:rFonts w:ascii="Tinos" w:hAnsi="Tinos" w:eastAsia="Tinos" w:cs="Tinos"/>
                <w:highlight w:val="none"/>
              </w:rPr>
              <w:t xml:space="preserve">Суммарный объем всех </w:t>
            </w:r>
            <w:r>
              <w:rPr>
                <w:rFonts w:ascii="Tinos" w:hAnsi="Tinos" w:eastAsia="Tinos" w:cs="Tinos"/>
                <w:highlight w:val="none"/>
              </w:rPr>
              <w:t xml:space="preserve">флеш-накопителей</w:t>
            </w:r>
            <w:r>
              <w:rPr>
                <w:rFonts w:ascii="Tinos" w:hAnsi="Tinos" w:eastAsia="Tinos" w:cs="Tinos"/>
                <w:highlight w:val="none"/>
              </w:rPr>
              <w:t xml:space="preserve"> должен быть не менее 10 Гб. </w:t>
            </w:r>
            <w:r>
              <w:rPr>
                <w:rFonts w:ascii="Tinos" w:hAnsi="Tinos" w:eastAsia="Tinos" w:cs="Tinos"/>
                <w:highlight w:val="none"/>
              </w:rPr>
            </w:r>
            <w:r>
              <w:rPr>
                <w:rFonts w:ascii="Tinos" w:hAnsi="Tinos" w:cs="Tinos"/>
                <w:highlight w:val="none"/>
              </w:rPr>
            </w:r>
          </w:p>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Интерфейс: USB 2.0 и выше, рекомендуется не ниже USB 3.0 </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ind w:left="-2"/>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Флеш-накопитель</w:t>
            </w:r>
            <w:r>
              <w:rPr>
                <w:rFonts w:ascii="Tinos" w:hAnsi="Tinos" w:eastAsia="Tinos" w:cs="Tinos"/>
                <w:sz w:val="24"/>
                <w:szCs w:val="24"/>
                <w:highlight w:val="none"/>
              </w:rPr>
              <w:t xml:space="preserve"> для</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хранения</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интерне</w:t>
            </w:r>
            <w:r>
              <w:rPr>
                <w:rFonts w:ascii="Tinos" w:hAnsi="Tinos" w:eastAsia="Tinos" w:cs="Tinos"/>
                <w:sz w:val="24"/>
                <w:szCs w:val="24"/>
                <w:highlight w:val="none"/>
              </w:rPr>
              <w:t xml:space="preserve">т-</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пакетов</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ind w:left="-2"/>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от 1 + не</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менее 1</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резервного</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Флеш-накопитель</w:t>
            </w:r>
            <w:r>
              <w:rPr>
                <w:rFonts w:ascii="Tinos" w:hAnsi="Tinos" w:eastAsia="Tinos" w:cs="Tinos"/>
                <w:sz w:val="24"/>
                <w:szCs w:val="24"/>
                <w:highlight w:val="none"/>
              </w:rPr>
              <w:t xml:space="preserve"> используется для хранения </w:t>
            </w:r>
            <w:r>
              <w:rPr>
                <w:rFonts w:ascii="Tinos" w:hAnsi="Tinos" w:eastAsia="Tinos" w:cs="Tinos"/>
                <w:sz w:val="24"/>
                <w:szCs w:val="24"/>
                <w:highlight w:val="none"/>
              </w:rPr>
              <w:t xml:space="preserve">доставленных</w:t>
            </w:r>
            <w:r>
              <w:rPr>
                <w:rFonts w:ascii="Tinos" w:hAnsi="Tinos" w:eastAsia="Tinos" w:cs="Tinos"/>
                <w:sz w:val="24"/>
                <w:szCs w:val="24"/>
                <w:highlight w:val="none"/>
              </w:rPr>
              <w:t xml:space="preserve"> в ППЭ </w:t>
            </w:r>
            <w:r>
              <w:rPr>
                <w:rFonts w:ascii="Tinos" w:hAnsi="Tinos" w:eastAsia="Tinos" w:cs="Tinos"/>
                <w:sz w:val="24"/>
                <w:szCs w:val="24"/>
                <w:highlight w:val="none"/>
              </w:rPr>
              <w:t xml:space="preserve">интернет-пакетов</w:t>
            </w:r>
            <w:r>
              <w:rPr>
                <w:rFonts w:ascii="Tinos" w:hAnsi="Tinos" w:eastAsia="Tinos" w:cs="Tinos"/>
                <w:sz w:val="24"/>
                <w:szCs w:val="24"/>
                <w:highlight w:val="none"/>
              </w:rPr>
              <w:t xml:space="preserve">. </w:t>
            </w:r>
            <w:r>
              <w:rPr>
                <w:rFonts w:ascii="Tinos" w:hAnsi="Tinos" w:cs="Tinos"/>
                <w:sz w:val="24"/>
                <w:szCs w:val="24"/>
                <w:highlight w:val="none"/>
              </w:rPr>
            </w:r>
            <w:r>
              <w:rPr>
                <w:rFonts w:ascii="Tinos" w:hAnsi="Tinos" w:cs="Tinos"/>
                <w:sz w:val="24"/>
                <w:szCs w:val="24"/>
                <w:highlight w:val="none"/>
              </w:rPr>
            </w:r>
          </w:p>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Объем </w:t>
            </w:r>
            <w:r>
              <w:rPr>
                <w:rFonts w:ascii="Tinos" w:hAnsi="Tinos" w:eastAsia="Tinos" w:cs="Tinos"/>
                <w:sz w:val="24"/>
                <w:szCs w:val="24"/>
                <w:highlight w:val="none"/>
              </w:rPr>
              <w:t xml:space="preserve">флеш-накопителя</w:t>
            </w:r>
            <w:r>
              <w:rPr>
                <w:rFonts w:ascii="Tinos" w:hAnsi="Tinos" w:eastAsia="Tinos" w:cs="Tinos"/>
                <w:sz w:val="24"/>
                <w:szCs w:val="24"/>
                <w:highlight w:val="none"/>
              </w:rPr>
              <w:t xml:space="preserve"> не менее 32 Гб. </w:t>
            </w:r>
            <w:r>
              <w:rPr>
                <w:rFonts w:ascii="Tinos" w:hAnsi="Tinos" w:cs="Tinos"/>
                <w:sz w:val="24"/>
                <w:szCs w:val="24"/>
                <w:highlight w:val="none"/>
              </w:rPr>
            </w:r>
            <w:r>
              <w:rPr>
                <w:rFonts w:ascii="Tinos" w:hAnsi="Tinos" w:cs="Tinos"/>
                <w:sz w:val="24"/>
                <w:szCs w:val="24"/>
                <w:highlight w:val="none"/>
              </w:rPr>
            </w:r>
          </w:p>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Интерфейс: USB 2.0 и выше, рекомендуется не ниже USB 3.0.</w:t>
            </w:r>
            <w:r>
              <w:rPr>
                <w:rFonts w:ascii="Tinos" w:hAnsi="Tinos" w:eastAsia="Tinos" w:cs="Tinos"/>
                <w:sz w:val="23"/>
                <w:szCs w:val="23"/>
                <w:highlight w:val="none"/>
              </w:rPr>
              <w:t xml:space="preserve"> </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2" w:right="0" w:firstLine="0"/>
              <w:spacing w:before="0" w:beforeAutospacing="0" w:after="0" w:afterAutospacing="0" w:line="259" w:lineRule="auto"/>
              <w:rPr>
                <w:rFonts w:ascii="Tinos" w:hAnsi="Tinos" w:cs="Tinos"/>
                <w:sz w:val="24"/>
                <w:szCs w:val="24"/>
                <w:highlight w:val="none"/>
              </w:rPr>
            </w:pPr>
            <w:r>
              <w:rPr>
                <w:rFonts w:ascii="Tinos" w:hAnsi="Tinos" w:eastAsia="Tinos" w:cs="Tinos"/>
                <w:sz w:val="24"/>
                <w:szCs w:val="24"/>
                <w:highlight w:val="none"/>
                <w:lang w:val="ru-RU"/>
              </w:rPr>
              <w:t xml:space="preserve">Флеш-накопитель</w:t>
            </w:r>
            <w:r>
              <w:rPr>
                <w:rFonts w:ascii="Tinos" w:hAnsi="Tinos" w:eastAsia="Tinos" w:cs="Tinos"/>
                <w:sz w:val="24"/>
                <w:szCs w:val="24"/>
                <w:highlight w:val="none"/>
                <w:lang w:val="ru-RU"/>
              </w:rPr>
              <w:t xml:space="preserve"> для </w:t>
            </w:r>
            <w:r>
              <w:rPr>
                <w:rFonts w:ascii="Tinos" w:hAnsi="Tinos" w:eastAsia="Tinos" w:cs="Tinos"/>
                <w:sz w:val="24"/>
                <w:szCs w:val="24"/>
                <w:highlight w:val="none"/>
                <w:lang w:val="ru-RU"/>
              </w:rPr>
              <w:t xml:space="preserve">сохранения ответов участников КЕГЭ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left="-2" w:right="0" w:firstLine="0"/>
              <w:spacing w:before="0" w:beforeAutospacing="0" w:after="0" w:afterAutospacing="0" w:line="259" w:lineRule="auto"/>
              <w:rPr>
                <w:rFonts w:ascii="Tinos" w:hAnsi="Tinos" w:cs="Tinos"/>
                <w:sz w:val="24"/>
                <w:szCs w:val="24"/>
                <w:highlight w:val="none"/>
              </w:rPr>
            </w:pPr>
            <w:r>
              <w:rPr>
                <w:rFonts w:ascii="Tinos" w:hAnsi="Tinos" w:eastAsia="Tinos" w:cs="Tinos"/>
                <w:sz w:val="24"/>
                <w:szCs w:val="24"/>
                <w:highlight w:val="none"/>
                <w:lang w:val="ru-RU"/>
              </w:rPr>
              <w:t xml:space="preserve">По 1 на каждую </w:t>
            </w:r>
            <w:r>
              <w:rPr>
                <w:rFonts w:ascii="Tinos" w:hAnsi="Tinos" w:eastAsia="Tinos" w:cs="Tinos"/>
                <w:sz w:val="24"/>
                <w:szCs w:val="24"/>
                <w:highlight w:val="none"/>
                <w:lang w:val="ru-RU"/>
              </w:rPr>
              <w:t xml:space="preserve">аудиторию или по 1 на каждого </w:t>
            </w:r>
            <w:r>
              <w:rPr>
                <w:rFonts w:ascii="Tinos" w:hAnsi="Tinos" w:eastAsia="Tinos" w:cs="Tinos"/>
                <w:sz w:val="24"/>
                <w:szCs w:val="24"/>
                <w:highlight w:val="none"/>
                <w:lang w:val="ru-RU"/>
              </w:rPr>
              <w:t xml:space="preserve">технического специалиста</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Суммарный объем всех </w:t>
            </w:r>
            <w:r>
              <w:rPr>
                <w:rFonts w:ascii="Tinos" w:hAnsi="Tinos" w:eastAsia="Tinos" w:cs="Tinos"/>
                <w:highlight w:val="none"/>
              </w:rPr>
              <w:t xml:space="preserve">флеш-накопителей</w:t>
            </w:r>
            <w:r>
              <w:rPr>
                <w:rFonts w:ascii="Tinos" w:hAnsi="Tinos" w:eastAsia="Tinos" w:cs="Tinos"/>
                <w:highlight w:val="none"/>
              </w:rPr>
              <w:t xml:space="preserve">, на </w:t>
            </w:r>
            <w:r>
              <w:rPr>
                <w:rFonts w:ascii="Tinos" w:hAnsi="Tinos" w:eastAsia="Tinos" w:cs="Tinos"/>
                <w:highlight w:val="none"/>
              </w:rPr>
              <w:t xml:space="preserve">которые предполагается сохранять ответы участников КЕГЭ, должен быть не менее 10 Гб. </w:t>
            </w:r>
            <w:r>
              <w:rPr>
                <w:rFonts w:ascii="Tinos" w:hAnsi="Tinos" w:eastAsia="Tinos" w:cs="Tinos"/>
                <w:highlight w:val="none"/>
              </w:rPr>
            </w:r>
            <w:r>
              <w:rPr>
                <w:rFonts w:ascii="Tinos" w:hAnsi="Tinos" w:cs="Tinos"/>
                <w:highlight w:val="none"/>
              </w:rPr>
            </w:r>
          </w:p>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Флеш-накопители</w:t>
            </w:r>
            <w:r>
              <w:rPr>
                <w:rFonts w:ascii="Tinos" w:hAnsi="Tinos" w:eastAsia="Tinos" w:cs="Tinos"/>
                <w:highlight w:val="none"/>
              </w:rPr>
              <w:t xml:space="preserve"> для сохранения ответов участников КЕГЭ могут быть доставлены в ППЭ членами ГЭК (схема обеспечения определяется регионом). </w:t>
            </w:r>
            <w:r>
              <w:rPr>
                <w:rFonts w:ascii="Tinos" w:hAnsi="Tinos" w:eastAsia="Tinos" w:cs="Tinos"/>
                <w:highlight w:val="none"/>
              </w:rPr>
            </w:r>
            <w:r>
              <w:rPr>
                <w:rFonts w:ascii="Tinos" w:hAnsi="Tinos" w:cs="Tinos"/>
                <w:highlight w:val="none"/>
              </w:rPr>
            </w:r>
          </w:p>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Допускается использовать несколько </w:t>
            </w:r>
            <w:r>
              <w:rPr>
                <w:rFonts w:ascii="Tinos" w:hAnsi="Tinos" w:eastAsia="Tinos" w:cs="Tinos"/>
                <w:highlight w:val="none"/>
              </w:rPr>
              <w:t xml:space="preserve">флеш-накопителей</w:t>
            </w:r>
            <w:r>
              <w:rPr>
                <w:rFonts w:ascii="Tinos" w:hAnsi="Tinos" w:eastAsia="Tinos" w:cs="Tinos"/>
                <w:highlight w:val="none"/>
              </w:rPr>
              <w:t xml:space="preserve">. </w:t>
            </w:r>
            <w:r>
              <w:rPr>
                <w:rFonts w:ascii="Tinos" w:hAnsi="Tinos" w:eastAsia="Tinos" w:cs="Tinos"/>
                <w:highlight w:val="none"/>
              </w:rPr>
            </w:r>
            <w:r>
              <w:rPr>
                <w:rFonts w:ascii="Tinos" w:hAnsi="Tinos" w:cs="Tinos"/>
                <w:highlight w:val="none"/>
              </w:rPr>
            </w:r>
          </w:p>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Запрещено: вручную изменять местоположение файлов пакетов с ответами участников КЕГЭ. </w:t>
            </w:r>
            <w:r>
              <w:rPr>
                <w:rFonts w:ascii="Tinos" w:hAnsi="Tinos" w:eastAsia="Tinos" w:cs="Tinos"/>
                <w:highlight w:val="none"/>
              </w:rPr>
            </w:r>
            <w:r>
              <w:rPr>
                <w:rFonts w:ascii="Tinos" w:hAnsi="Tinos" w:cs="Tinos"/>
                <w:highlight w:val="none"/>
              </w:rPr>
            </w:r>
          </w:p>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Рекомендуется USB 3.0. </w:t>
            </w:r>
            <w:r>
              <w:rPr>
                <w:rFonts w:ascii="Tinos" w:hAnsi="Tinos" w:eastAsia="Tinos" w:cs="Tinos"/>
                <w:highlight w:val="none"/>
              </w:rPr>
            </w:r>
            <w:r>
              <w:rPr>
                <w:rFonts w:ascii="Tinos" w:hAnsi="Tinos" w:cs="Tinos"/>
                <w:highlight w:val="none"/>
              </w:rPr>
            </w:r>
          </w:p>
          <w:p>
            <w:pPr>
              <w:ind w:right="0" w:firstLine="0"/>
              <w:spacing w:before="0" w:beforeAutospacing="0" w:after="0" w:afterAutospacing="0" w:line="259" w:lineRule="auto"/>
              <w:rPr>
                <w:rFonts w:ascii="Tinos" w:hAnsi="Tinos" w:cs="Tinos"/>
                <w:sz w:val="24"/>
                <w:szCs w:val="24"/>
                <w:highlight w:val="none"/>
              </w:rPr>
            </w:pPr>
            <w:r>
              <w:rPr>
                <w:rFonts w:ascii="Tinos" w:hAnsi="Tinos" w:eastAsia="Tinos" w:cs="Tinos"/>
                <w:b/>
                <w:bCs/>
                <w:sz w:val="24"/>
                <w:szCs w:val="24"/>
                <w:highlight w:val="none"/>
                <w:lang w:val="ru-RU"/>
              </w:rPr>
              <w:t xml:space="preserve">Важно! </w:t>
            </w:r>
            <w:r>
              <w:rPr>
                <w:rFonts w:ascii="Tinos" w:hAnsi="Tinos" w:eastAsia="Tinos" w:cs="Tinos"/>
                <w:sz w:val="24"/>
                <w:szCs w:val="24"/>
                <w:highlight w:val="none"/>
                <w:lang w:val="ru-RU"/>
              </w:rPr>
              <w:t xml:space="preserve">По окончании экзамена </w:t>
            </w:r>
            <w:r>
              <w:rPr>
                <w:rFonts w:ascii="Tinos" w:hAnsi="Tinos" w:eastAsia="Tinos" w:cs="Tinos"/>
                <w:sz w:val="24"/>
                <w:szCs w:val="24"/>
                <w:highlight w:val="none"/>
                <w:lang w:val="ru-RU"/>
              </w:rPr>
              <w:t xml:space="preserve">флеш-накопители</w:t>
            </w:r>
            <w:r>
              <w:rPr>
                <w:rFonts w:ascii="Tinos" w:hAnsi="Tinos" w:eastAsia="Tinos" w:cs="Tinos"/>
                <w:sz w:val="24"/>
                <w:szCs w:val="24"/>
                <w:highlight w:val="none"/>
                <w:lang w:val="ru-RU"/>
              </w:rPr>
              <w:t xml:space="preserve"> с сохраненными ответами участников КЕГЭ остаются на хранение в ППЭ и не должны использоваться при проведении последующих экзаменов</w:t>
            </w:r>
            <w:r>
              <w:rPr>
                <w:rFonts w:ascii="Tinos" w:hAnsi="Tinos" w:eastAsia="Tinos" w:cs="Tinos"/>
                <w:sz w:val="23"/>
                <w:szCs w:val="23"/>
                <w:highlight w:val="none"/>
                <w:lang w:val="ru-RU"/>
              </w:rPr>
              <w:t xml:space="preserve"> </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0" w:firstLine="0"/>
              <w:spacing w:before="0" w:beforeAutospacing="0" w:after="0" w:afterAutospacing="0" w:line="259" w:lineRule="auto"/>
              <w:rPr>
                <w:rFonts w:ascii="Tinos" w:hAnsi="Tinos" w:cs="Tinos"/>
                <w:sz w:val="24"/>
                <w:szCs w:val="24"/>
                <w:highlight w:val="none"/>
              </w:rPr>
            </w:pPr>
            <w:r>
              <w:rPr>
                <w:rFonts w:ascii="Tinos" w:hAnsi="Tinos" w:eastAsia="Tinos" w:cs="Tinos"/>
                <w:sz w:val="24"/>
                <w:szCs w:val="24"/>
                <w:highlight w:val="none"/>
              </w:rPr>
              <w:t xml:space="preserve">Бумага</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0" w:firstLine="0"/>
              <w:spacing w:before="0" w:beforeAutospacing="0" w:after="0" w:afterAutospacing="0" w:line="259" w:lineRule="auto"/>
              <w:rPr>
                <w:rFonts w:ascii="Tinos" w:hAnsi="Tinos" w:cs="Tinos"/>
                <w:sz w:val="24"/>
                <w:szCs w:val="24"/>
                <w:highlight w:val="none"/>
              </w:rPr>
            </w:pPr>
            <w:r>
              <w:rPr>
                <w:rFonts w:ascii="Tinos" w:hAnsi="Tinos" w:eastAsia="Tinos" w:cs="Tinos"/>
                <w:sz w:val="24"/>
                <w:szCs w:val="24"/>
                <w:highlight w:val="none"/>
                <w:lang w:val="ru-RU"/>
              </w:rPr>
              <w:t xml:space="preserve">В среднем 15 листов на один на участника экзамена</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ind w:right="0" w:firstLine="0"/>
              <w:spacing w:before="0" w:beforeAutospacing="0" w:after="0" w:afterAutospacing="0" w:line="259" w:lineRule="auto"/>
              <w:rPr>
                <w:rFonts w:ascii="Tinos" w:hAnsi="Tinos" w:cs="Tinos"/>
                <w:b/>
                <w:sz w:val="24"/>
                <w:szCs w:val="24"/>
                <w:highlight w:val="none"/>
              </w:rPr>
            </w:pPr>
            <w:r>
              <w:rPr>
                <w:rFonts w:ascii="Tinos" w:hAnsi="Tinos" w:eastAsia="Tinos" w:cs="Tinos"/>
                <w:b/>
                <w:sz w:val="24"/>
                <w:szCs w:val="24"/>
                <w:highlight w:val="none"/>
                <w:lang w:val="ru-RU"/>
              </w:rPr>
              <w:t xml:space="preserve">плотность</w:t>
            </w:r>
            <w:r>
              <w:rPr>
                <w:rFonts w:ascii="Tinos" w:hAnsi="Tinos" w:eastAsia="Tinos" w:cs="Tinos"/>
                <w:sz w:val="24"/>
                <w:szCs w:val="24"/>
                <w:highlight w:val="none"/>
                <w:lang w:val="ru-RU"/>
              </w:rPr>
              <w:t xml:space="preserve"> 80 г/м</w:t>
            </w:r>
            <w:r>
              <w:rPr>
                <w:rFonts w:ascii="Tinos" w:hAnsi="Tinos" w:eastAsia="Tinos" w:cs="Tinos"/>
                <w:sz w:val="24"/>
                <w:szCs w:val="24"/>
                <w:highlight w:val="none"/>
                <w:vertAlign w:val="superscript"/>
                <w:lang w:val="ru-RU"/>
              </w:rPr>
              <w:t xml:space="preserve">2</w:t>
            </w:r>
            <w:r>
              <w:rPr>
                <w:rFonts w:ascii="Tinos" w:hAnsi="Tinos" w:eastAsia="Tinos" w:cs="Tinos"/>
                <w:sz w:val="24"/>
                <w:szCs w:val="24"/>
                <w:highlight w:val="none"/>
                <w:lang w:val="ru-RU"/>
              </w:rPr>
              <w:t xml:space="preserve"> </w:t>
            </w:r>
            <w:r>
              <w:rPr>
                <w:rFonts w:ascii="Tinos" w:hAnsi="Tinos" w:cs="Tinos"/>
                <w:b/>
                <w:sz w:val="24"/>
                <w:szCs w:val="24"/>
                <w:highlight w:val="none"/>
              </w:rPr>
            </w:r>
            <w:r>
              <w:rPr>
                <w:rFonts w:ascii="Tinos" w:hAnsi="Tinos" w:cs="Tinos"/>
                <w:b/>
                <w:sz w:val="24"/>
                <w:szCs w:val="24"/>
                <w:highlight w:val="none"/>
              </w:rPr>
            </w:r>
          </w:p>
          <w:p>
            <w:pPr>
              <w:ind w:right="0" w:firstLine="0"/>
              <w:spacing w:before="0" w:beforeAutospacing="0" w:after="0" w:afterAutospacing="0" w:line="259" w:lineRule="auto"/>
              <w:rPr>
                <w:rFonts w:ascii="Tinos" w:hAnsi="Tinos" w:cs="Tinos"/>
                <w:sz w:val="24"/>
                <w:szCs w:val="24"/>
                <w:highlight w:val="none"/>
              </w:rPr>
            </w:pPr>
            <w:r>
              <w:rPr>
                <w:rFonts w:ascii="Tinos" w:hAnsi="Tinos" w:eastAsia="Tinos" w:cs="Tinos"/>
                <w:b/>
                <w:sz w:val="24"/>
                <w:szCs w:val="24"/>
                <w:highlight w:val="none"/>
                <w:lang w:val="ru-RU"/>
              </w:rPr>
              <w:t xml:space="preserve">белизна</w:t>
            </w:r>
            <w:r>
              <w:rPr>
                <w:rFonts w:ascii="Tinos" w:hAnsi="Tinos" w:eastAsia="Tinos" w:cs="Tinos"/>
                <w:sz w:val="24"/>
                <w:szCs w:val="24"/>
                <w:highlight w:val="none"/>
                <w:lang w:val="ru-RU"/>
              </w:rPr>
              <w:t xml:space="preserve">: от 150%</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Резервный</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USB-модем</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line="262" w:lineRule="exact"/>
              <w:rPr>
                <w:rFonts w:ascii="Tinos" w:hAnsi="Tinos" w:cs="Tinos"/>
                <w:sz w:val="24"/>
                <w:szCs w:val="24"/>
                <w:highlight w:val="none"/>
              </w:rPr>
            </w:pPr>
            <w:r>
              <w:rPr>
                <w:rFonts w:ascii="Tinos" w:hAnsi="Tinos" w:eastAsia="Tinos" w:cs="Tinos"/>
                <w:sz w:val="24"/>
                <w:szCs w:val="24"/>
                <w:highlight w:val="none"/>
              </w:rPr>
              <w:t xml:space="preserve">1</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на</w:t>
            </w:r>
            <w:r>
              <w:rPr>
                <w:rFonts w:ascii="Tinos" w:hAnsi="Tinos" w:eastAsia="Tinos" w:cs="Tinos"/>
                <w:spacing w:val="-2"/>
                <w:sz w:val="24"/>
                <w:szCs w:val="24"/>
                <w:highlight w:val="none"/>
              </w:rPr>
              <w:t xml:space="preserve"> </w:t>
            </w:r>
            <w:r>
              <w:rPr>
                <w:rFonts w:ascii="Tinos" w:hAnsi="Tinos" w:eastAsia="Tinos" w:cs="Tinos"/>
                <w:sz w:val="24"/>
                <w:szCs w:val="24"/>
                <w:highlight w:val="none"/>
              </w:rPr>
              <w:t xml:space="preserve">ППЭ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tabs>
                <w:tab w:val="left" w:pos="1182" w:leader="none"/>
                <w:tab w:val="left" w:pos="2530" w:leader="none"/>
                <w:tab w:val="left" w:pos="3343" w:leader="none"/>
                <w:tab w:val="left" w:pos="4755" w:leader="none"/>
              </w:tabs>
              <w:rPr>
                <w:rFonts w:ascii="Tinos" w:hAnsi="Tinos" w:cs="Tinos"/>
                <w:sz w:val="24"/>
                <w:szCs w:val="24"/>
                <w:highlight w:val="none"/>
              </w:rPr>
            </w:pPr>
            <w:r>
              <w:rPr>
                <w:rFonts w:ascii="Tinos" w:hAnsi="Tinos" w:eastAsia="Tinos" w:cs="Tinos"/>
                <w:sz w:val="24"/>
                <w:szCs w:val="24"/>
                <w:highlight w:val="none"/>
              </w:rPr>
              <w:t xml:space="preserve">Резервный</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USB-модем</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используется</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в случае</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возникновения</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проблем с</w:t>
            </w:r>
            <w:r>
              <w:rPr>
                <w:rFonts w:ascii="Tinos" w:hAnsi="Tinos" w:eastAsia="Tinos" w:cs="Tinos"/>
                <w:spacing w:val="-3"/>
                <w:sz w:val="24"/>
                <w:szCs w:val="24"/>
                <w:highlight w:val="none"/>
              </w:rPr>
              <w:t xml:space="preserve"> </w:t>
            </w:r>
            <w:r>
              <w:rPr>
                <w:rFonts w:ascii="Tinos" w:hAnsi="Tinos" w:eastAsia="Tinos" w:cs="Tinos"/>
                <w:sz w:val="24"/>
                <w:szCs w:val="24"/>
                <w:highlight w:val="none"/>
              </w:rPr>
              <w:t xml:space="preserve">доступом в сеть «Интернет» по</w:t>
            </w:r>
            <w:r>
              <w:rPr>
                <w:rFonts w:ascii="Tinos" w:hAnsi="Tinos" w:eastAsia="Tinos" w:cs="Tinos"/>
                <w:spacing w:val="-5"/>
                <w:sz w:val="24"/>
                <w:szCs w:val="24"/>
                <w:highlight w:val="none"/>
              </w:rPr>
              <w:t xml:space="preserve"> </w:t>
            </w:r>
            <w:r>
              <w:rPr>
                <w:rFonts w:ascii="Tinos" w:hAnsi="Tinos" w:eastAsia="Tinos" w:cs="Tinos"/>
                <w:sz w:val="24"/>
                <w:szCs w:val="24"/>
                <w:highlight w:val="none"/>
              </w:rPr>
              <w:t xml:space="preserve">стационарному каналу</w:t>
            </w:r>
            <w:r>
              <w:rPr>
                <w:rFonts w:ascii="Tinos" w:hAnsi="Tinos" w:eastAsia="Tinos" w:cs="Tinos"/>
                <w:spacing w:val="-7"/>
                <w:sz w:val="24"/>
                <w:szCs w:val="24"/>
                <w:highlight w:val="none"/>
              </w:rPr>
              <w:t xml:space="preserve"> </w:t>
            </w:r>
            <w:r>
              <w:rPr>
                <w:rFonts w:ascii="Tinos" w:hAnsi="Tinos" w:eastAsia="Tinos" w:cs="Tinos"/>
                <w:sz w:val="24"/>
                <w:szCs w:val="24"/>
                <w:highlight w:val="none"/>
              </w:rPr>
              <w:t xml:space="preserve">связи</w:t>
            </w:r>
            <w:r>
              <w:rPr>
                <w:rFonts w:ascii="Tinos" w:hAnsi="Tinos" w:cs="Tinos"/>
                <w:sz w:val="24"/>
                <w:szCs w:val="24"/>
                <w:highlight w:val="none"/>
              </w:rPr>
            </w:r>
            <w:r>
              <w:rPr>
                <w:rFonts w:ascii="Tinos" w:hAnsi="Tinos" w:cs="Tinos"/>
                <w:sz w:val="24"/>
                <w:szCs w:val="24"/>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Резервные</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картриджи</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не</w:t>
            </w:r>
            <w:r>
              <w:rPr>
                <w:rFonts w:ascii="Tinos" w:hAnsi="Tinos" w:eastAsia="Tinos" w:cs="Tinos"/>
                <w:spacing w:val="47"/>
                <w:sz w:val="24"/>
                <w:szCs w:val="24"/>
                <w:highlight w:val="none"/>
              </w:rPr>
              <w:t xml:space="preserve"> </w:t>
            </w:r>
            <w:r>
              <w:rPr>
                <w:rFonts w:ascii="Tinos" w:hAnsi="Tinos" w:eastAsia="Tinos" w:cs="Tinos"/>
                <w:sz w:val="24"/>
                <w:szCs w:val="24"/>
                <w:highlight w:val="none"/>
              </w:rPr>
              <w:t xml:space="preserve">менее</w:t>
            </w:r>
            <w:r>
              <w:rPr>
                <w:rFonts w:ascii="Tinos" w:hAnsi="Tinos" w:eastAsia="Tinos" w:cs="Tinos"/>
                <w:spacing w:val="47"/>
                <w:sz w:val="24"/>
                <w:szCs w:val="24"/>
                <w:highlight w:val="none"/>
              </w:rPr>
              <w:t xml:space="preserve"> </w:t>
            </w:r>
            <w:r>
              <w:rPr>
                <w:rFonts w:ascii="Tinos" w:hAnsi="Tinos" w:eastAsia="Tinos" w:cs="Tinos"/>
                <w:sz w:val="24"/>
                <w:szCs w:val="24"/>
                <w:highlight w:val="none"/>
              </w:rPr>
              <w:t xml:space="preserve">1-го</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резервного</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картриджа на</w:t>
            </w:r>
            <w:r>
              <w:rPr>
                <w:rFonts w:ascii="Tinos" w:hAnsi="Tinos" w:eastAsia="Tinos" w:cs="Tinos"/>
                <w:spacing w:val="-6"/>
                <w:sz w:val="24"/>
                <w:szCs w:val="24"/>
                <w:highlight w:val="none"/>
              </w:rPr>
              <w:t xml:space="preserve"> </w:t>
            </w:r>
            <w:r>
              <w:rPr>
                <w:rFonts w:ascii="Tinos" w:hAnsi="Tinos" w:eastAsia="Tinos" w:cs="Tinos"/>
                <w:sz w:val="24"/>
                <w:szCs w:val="24"/>
                <w:highlight w:val="none"/>
              </w:rPr>
              <w:t xml:space="preserve">3</w:t>
            </w:r>
            <w:r>
              <w:rPr>
                <w:rFonts w:ascii="Tinos" w:hAnsi="Tinos" w:eastAsia="Tinos" w:cs="Tinos"/>
                <w:spacing w:val="44"/>
                <w:sz w:val="24"/>
                <w:szCs w:val="24"/>
                <w:highlight w:val="none"/>
              </w:rPr>
              <w:t xml:space="preserve"> </w:t>
            </w:r>
            <w:r>
              <w:rPr>
                <w:rFonts w:ascii="Tinos" w:hAnsi="Tinos" w:eastAsia="Tinos" w:cs="Tinos"/>
                <w:sz w:val="24"/>
                <w:szCs w:val="24"/>
                <w:highlight w:val="none"/>
              </w:rPr>
              <w:t xml:space="preserve">лазерных</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принтера</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одной</w:t>
            </w:r>
            <w:r>
              <w:rPr>
                <w:rFonts w:ascii="Tinos" w:hAnsi="Tinos" w:eastAsia="Tinos" w:cs="Tinos"/>
                <w:spacing w:val="2"/>
                <w:sz w:val="24"/>
                <w:szCs w:val="24"/>
                <w:highlight w:val="none"/>
              </w:rPr>
              <w:t xml:space="preserve"> </w:t>
            </w:r>
            <w:r>
              <w:rPr>
                <w:rFonts w:ascii="Tinos" w:hAnsi="Tinos" w:eastAsia="Tinos" w:cs="Tinos"/>
                <w:sz w:val="24"/>
                <w:szCs w:val="24"/>
                <w:highlight w:val="none"/>
              </w:rPr>
              <w:t xml:space="preserve">модели</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 </w:t>
            </w:r>
            <w:r>
              <w:rPr>
                <w:rFonts w:ascii="Tinos" w:hAnsi="Tinos" w:eastAsia="Tinos" w:cs="Tinos"/>
                <w:highlight w:val="none"/>
              </w:rPr>
            </w:r>
            <w:r>
              <w:rPr>
                <w:rFonts w:ascii="Tinos" w:hAnsi="Tinos" w:cs="Tinos"/>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line="262" w:lineRule="exact"/>
              <w:rPr>
                <w:rFonts w:ascii="Tinos" w:hAnsi="Tinos" w:cs="Tinos"/>
                <w:sz w:val="24"/>
                <w:szCs w:val="24"/>
                <w:highlight w:val="none"/>
              </w:rPr>
            </w:pPr>
            <w:r>
              <w:rPr>
                <w:rFonts w:ascii="Tinos" w:hAnsi="Tinos" w:eastAsia="Tinos" w:cs="Tinos"/>
                <w:sz w:val="24"/>
                <w:szCs w:val="24"/>
                <w:highlight w:val="none"/>
              </w:rPr>
              <w:t xml:space="preserve">Резервный лазерный</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принтер</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line="262" w:lineRule="exact"/>
              <w:rPr>
                <w:rFonts w:ascii="Tinos" w:hAnsi="Tinos" w:cs="Tinos"/>
                <w:sz w:val="24"/>
                <w:szCs w:val="24"/>
                <w:highlight w:val="none"/>
              </w:rPr>
            </w:pPr>
            <w:r>
              <w:rPr>
                <w:rFonts w:ascii="Tinos" w:hAnsi="Tinos" w:eastAsia="Tinos" w:cs="Tinos"/>
                <w:sz w:val="24"/>
                <w:szCs w:val="24"/>
                <w:highlight w:val="none"/>
              </w:rPr>
              <w:t xml:space="preserve">не</w:t>
            </w:r>
            <w:r>
              <w:rPr>
                <w:rFonts w:ascii="Tinos" w:hAnsi="Tinos" w:eastAsia="Tinos" w:cs="Tinos"/>
                <w:spacing w:val="-3"/>
                <w:sz w:val="24"/>
                <w:szCs w:val="24"/>
                <w:highlight w:val="none"/>
              </w:rPr>
              <w:t xml:space="preserve"> </w:t>
            </w:r>
            <w:r>
              <w:rPr>
                <w:rFonts w:ascii="Tinos" w:hAnsi="Tinos" w:eastAsia="Tinos" w:cs="Tinos"/>
                <w:sz w:val="24"/>
                <w:szCs w:val="24"/>
                <w:highlight w:val="none"/>
              </w:rPr>
              <w:t xml:space="preserve">менее одного на</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ППЭ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Используется в случае выхода из строя принтера, используемого на какой-либо основной или резервной станции организатора или станции Штаба ППЭ </w:t>
            </w:r>
            <w:r>
              <w:rPr>
                <w:rFonts w:ascii="Tinos" w:hAnsi="Tinos" w:eastAsia="Tinos" w:cs="Tinos"/>
                <w:highlight w:val="none"/>
              </w:rPr>
            </w:r>
            <w:r>
              <w:rPr>
                <w:rFonts w:ascii="Tinos" w:hAnsi="Tinos" w:cs="Tinos"/>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Резервный</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сканер</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не менее</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одного</w:t>
            </w:r>
            <w:r>
              <w:rPr>
                <w:rFonts w:ascii="Tinos" w:hAnsi="Tinos" w:eastAsia="Tinos" w:cs="Tinos"/>
                <w:spacing w:val="-12"/>
                <w:sz w:val="24"/>
                <w:szCs w:val="24"/>
                <w:highlight w:val="none"/>
              </w:rPr>
              <w:t xml:space="preserve"> </w:t>
            </w:r>
            <w:r>
              <w:rPr>
                <w:rFonts w:ascii="Tinos" w:hAnsi="Tinos" w:eastAsia="Tinos" w:cs="Tinos"/>
                <w:sz w:val="24"/>
                <w:szCs w:val="24"/>
                <w:highlight w:val="none"/>
              </w:rPr>
              <w:t xml:space="preserve">на ППЭ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1014"/>
              <w:jc w:val="both"/>
              <w:spacing w:before="0" w:beforeAutospacing="0" w:after="0" w:afterAutospacing="0"/>
              <w:rPr>
                <w:rFonts w:ascii="Tinos" w:hAnsi="Tinos" w:cs="Tinos"/>
                <w:highlight w:val="none"/>
              </w:rPr>
            </w:pPr>
            <w:r>
              <w:rPr>
                <w:rFonts w:ascii="Tinos" w:hAnsi="Tinos" w:eastAsia="Tinos" w:cs="Tinos"/>
                <w:highlight w:val="none"/>
              </w:rPr>
              <w:t xml:space="preserve">Используется в случае выхода из строя сканера, используемого на какой-либо основной или резервной станции Штаба ППЭ, станции организатора </w:t>
            </w:r>
            <w:r>
              <w:rPr>
                <w:rFonts w:ascii="Tinos" w:hAnsi="Tinos" w:eastAsia="Tinos" w:cs="Tinos"/>
                <w:highlight w:val="none"/>
              </w:rPr>
            </w:r>
            <w:r>
              <w:rPr>
                <w:rFonts w:ascii="Tinos" w:hAnsi="Tinos" w:cs="Tinos"/>
                <w:highlight w:val="none"/>
              </w:rPr>
            </w:r>
          </w:p>
        </w:tc>
      </w:tr>
      <w:tr>
        <w:tblPrEx/>
        <w:trPr>
          <w:trHeight w:val="20"/>
        </w:trPr>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line="265" w:lineRule="exact"/>
              <w:rPr>
                <w:rFonts w:ascii="Tinos" w:hAnsi="Tinos" w:cs="Tinos"/>
                <w:sz w:val="24"/>
                <w:szCs w:val="24"/>
                <w:highlight w:val="none"/>
              </w:rPr>
            </w:pPr>
            <w:r>
              <w:rPr>
                <w:rFonts w:ascii="Tinos" w:hAnsi="Tinos" w:eastAsia="Tinos" w:cs="Tinos"/>
                <w:sz w:val="24"/>
                <w:szCs w:val="24"/>
                <w:highlight w:val="none"/>
              </w:rPr>
              <w:t xml:space="preserve">Резервные кабели </w:t>
            </w:r>
            <w:r>
              <w:rPr>
                <w:rFonts w:ascii="Tinos" w:hAnsi="Tinos" w:eastAsia="Tinos" w:cs="Tinos"/>
                <w:spacing w:val="-1"/>
                <w:sz w:val="24"/>
                <w:szCs w:val="24"/>
                <w:highlight w:val="none"/>
              </w:rPr>
              <w:t xml:space="preserve">для</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подключения</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принтеров </w:t>
            </w:r>
            <w:r>
              <w:rPr>
                <w:rFonts w:ascii="Tinos" w:hAnsi="Tinos" w:eastAsia="Tinos" w:cs="Tinos"/>
                <w:spacing w:val="-3"/>
                <w:sz w:val="24"/>
                <w:szCs w:val="24"/>
                <w:highlight w:val="none"/>
              </w:rPr>
              <w:t xml:space="preserve">и</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сканеров к </w:t>
            </w:r>
            <w:r>
              <w:rPr>
                <w:rFonts w:ascii="Tinos" w:hAnsi="Tinos" w:eastAsia="Tinos" w:cs="Tinos"/>
                <w:spacing w:val="-1"/>
                <w:sz w:val="24"/>
                <w:szCs w:val="24"/>
                <w:highlight w:val="none"/>
              </w:rPr>
              <w:t xml:space="preserve">компьютерам</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(ноутбукам)</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line="265" w:lineRule="exact"/>
              <w:rPr>
                <w:rFonts w:ascii="Tinos" w:hAnsi="Tinos" w:cs="Tinos"/>
                <w:sz w:val="24"/>
                <w:szCs w:val="24"/>
                <w:highlight w:val="none"/>
              </w:rPr>
            </w:pPr>
            <w:r>
              <w:rPr>
                <w:rFonts w:ascii="Tinos" w:hAnsi="Tinos" w:eastAsia="Tinos" w:cs="Tinos"/>
                <w:sz w:val="24"/>
                <w:szCs w:val="24"/>
                <w:highlight w:val="none"/>
              </w:rPr>
              <w:t xml:space="preserve">От</w:t>
            </w:r>
            <w:r>
              <w:rPr>
                <w:rFonts w:ascii="Tinos" w:hAnsi="Tinos" w:eastAsia="Tinos" w:cs="Tinos"/>
                <w:spacing w:val="-2"/>
                <w:sz w:val="24"/>
                <w:szCs w:val="24"/>
                <w:highlight w:val="none"/>
              </w:rPr>
              <w:t xml:space="preserve"> </w:t>
            </w:r>
            <w:r>
              <w:rPr>
                <w:rFonts w:ascii="Tinos" w:hAnsi="Tinos" w:eastAsia="Tinos" w:cs="Tinos"/>
                <w:sz w:val="24"/>
                <w:szCs w:val="24"/>
                <w:highlight w:val="none"/>
              </w:rPr>
              <w:t xml:space="preserve">1</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на</w:t>
            </w:r>
            <w:r>
              <w:rPr>
                <w:rFonts w:ascii="Tinos" w:hAnsi="Tinos" w:eastAsia="Tinos" w:cs="Tinos"/>
                <w:spacing w:val="-2"/>
                <w:sz w:val="24"/>
                <w:szCs w:val="24"/>
                <w:highlight w:val="none"/>
              </w:rPr>
              <w:t xml:space="preserve"> </w:t>
            </w:r>
            <w:r>
              <w:rPr>
                <w:rFonts w:ascii="Tinos" w:hAnsi="Tinos" w:eastAsia="Tinos" w:cs="Tinos"/>
                <w:sz w:val="24"/>
                <w:szCs w:val="24"/>
                <w:highlight w:val="none"/>
              </w:rPr>
              <w:t xml:space="preserve">ППЭ</w:t>
            </w:r>
            <w:r>
              <w:rPr>
                <w:rFonts w:ascii="Tinos" w:hAnsi="Tinos" w:cs="Tinos"/>
                <w:sz w:val="24"/>
                <w:szCs w:val="24"/>
                <w:highlight w:val="none"/>
              </w:rPr>
            </w:r>
            <w:r>
              <w:rPr>
                <w:rFonts w:ascii="Tinos" w:hAnsi="Tinos" w:cs="Tinos"/>
                <w:sz w:val="24"/>
                <w:szCs w:val="24"/>
                <w:highlight w:val="none"/>
              </w:rPr>
            </w:r>
          </w:p>
        </w:tc>
        <w:tc>
          <w:tcPr>
            <w:shd w:val="clear" w:color="auto" w:fill="auto"/>
            <w:tcBorders>
              <w:top w:val="single" w:color="000000" w:sz="4" w:space="0"/>
              <w:left w:val="single" w:color="000000" w:sz="4" w:space="0"/>
              <w:bottom w:val="single" w:color="000000" w:sz="4" w:space="0"/>
              <w:right w:val="single" w:color="000000" w:sz="4" w:space="0"/>
            </w:tcBorders>
            <w:tcW w:w="0" w:type="auto"/>
            <w:textDirection w:val="lrTb"/>
            <w:noWrap w:val="false"/>
          </w:tcPr>
          <w:p>
            <w:pPr>
              <w:pStyle w:val="999"/>
              <w:spacing w:before="0" w:beforeAutospacing="0" w:after="0" w:afterAutospacing="0"/>
              <w:rPr>
                <w:rFonts w:ascii="Tinos" w:hAnsi="Tinos" w:cs="Tinos"/>
                <w:sz w:val="24"/>
                <w:szCs w:val="24"/>
                <w:highlight w:val="none"/>
              </w:rPr>
            </w:pPr>
            <w:r>
              <w:rPr>
                <w:rFonts w:ascii="Tinos" w:hAnsi="Tinos" w:eastAsia="Tinos" w:cs="Tinos"/>
                <w:sz w:val="24"/>
                <w:szCs w:val="24"/>
                <w:highlight w:val="none"/>
              </w:rPr>
              <w:t xml:space="preserve">Используются</w:t>
            </w:r>
            <w:r>
              <w:rPr>
                <w:rFonts w:ascii="Tinos" w:hAnsi="Tinos" w:eastAsia="Tinos" w:cs="Tinos"/>
                <w:spacing w:val="-3"/>
                <w:sz w:val="24"/>
                <w:szCs w:val="24"/>
                <w:highlight w:val="none"/>
              </w:rPr>
              <w:t xml:space="preserve"> </w:t>
            </w:r>
            <w:r>
              <w:rPr>
                <w:rFonts w:ascii="Tinos" w:hAnsi="Tinos" w:eastAsia="Tinos" w:cs="Tinos"/>
                <w:sz w:val="24"/>
                <w:szCs w:val="24"/>
                <w:highlight w:val="none"/>
              </w:rPr>
              <w:t xml:space="preserve">в</w:t>
            </w:r>
            <w:r>
              <w:rPr>
                <w:rFonts w:ascii="Tinos" w:hAnsi="Tinos" w:eastAsia="Tinos" w:cs="Tinos"/>
                <w:spacing w:val="-2"/>
                <w:sz w:val="24"/>
                <w:szCs w:val="24"/>
                <w:highlight w:val="none"/>
              </w:rPr>
              <w:t xml:space="preserve"> </w:t>
            </w:r>
            <w:r>
              <w:rPr>
                <w:rFonts w:ascii="Tinos" w:hAnsi="Tinos" w:eastAsia="Tinos" w:cs="Tinos"/>
                <w:sz w:val="24"/>
                <w:szCs w:val="24"/>
                <w:highlight w:val="none"/>
              </w:rPr>
              <w:t xml:space="preserve">случае</w:t>
            </w:r>
            <w:r>
              <w:rPr>
                <w:rFonts w:ascii="Tinos" w:hAnsi="Tinos" w:eastAsia="Tinos" w:cs="Tinos"/>
                <w:spacing w:val="-1"/>
                <w:sz w:val="24"/>
                <w:szCs w:val="24"/>
                <w:highlight w:val="none"/>
              </w:rPr>
              <w:t xml:space="preserve"> </w:t>
            </w:r>
            <w:r>
              <w:rPr>
                <w:rFonts w:ascii="Tinos" w:hAnsi="Tinos" w:eastAsia="Tinos" w:cs="Tinos"/>
                <w:sz w:val="24"/>
                <w:szCs w:val="24"/>
                <w:highlight w:val="none"/>
              </w:rPr>
              <w:t xml:space="preserve">сбоя</w:t>
            </w:r>
            <w:r>
              <w:rPr>
                <w:rFonts w:ascii="Tinos" w:hAnsi="Tinos" w:eastAsia="Tinos" w:cs="Tinos"/>
                <w:spacing w:val="-3"/>
                <w:sz w:val="24"/>
                <w:szCs w:val="24"/>
                <w:highlight w:val="none"/>
              </w:rPr>
              <w:t xml:space="preserve"> </w:t>
            </w:r>
            <w:r>
              <w:rPr>
                <w:rFonts w:ascii="Tinos" w:hAnsi="Tinos" w:eastAsia="Tinos" w:cs="Tinos"/>
                <w:sz w:val="24"/>
                <w:szCs w:val="24"/>
                <w:highlight w:val="none"/>
              </w:rPr>
              <w:t xml:space="preserve">при</w:t>
            </w:r>
            <w:r>
              <w:rPr>
                <w:rFonts w:ascii="Tinos" w:hAnsi="Tinos" w:eastAsia="Tinos" w:cs="Tinos"/>
                <w:spacing w:val="-3"/>
                <w:sz w:val="24"/>
                <w:szCs w:val="24"/>
                <w:highlight w:val="none"/>
              </w:rPr>
              <w:t xml:space="preserve"> </w:t>
            </w:r>
            <w:r>
              <w:rPr>
                <w:rFonts w:ascii="Tinos" w:hAnsi="Tinos" w:eastAsia="Tinos" w:cs="Tinos"/>
                <w:sz w:val="24"/>
                <w:szCs w:val="24"/>
                <w:highlight w:val="none"/>
              </w:rPr>
              <w:t xml:space="preserve">подключении</w:t>
            </w:r>
            <w:r>
              <w:rPr>
                <w:rFonts w:ascii="Tinos" w:hAnsi="Tinos" w:eastAsia="Tinos" w:cs="Tinos"/>
                <w:spacing w:val="-4"/>
                <w:sz w:val="24"/>
                <w:szCs w:val="24"/>
                <w:highlight w:val="none"/>
              </w:rPr>
              <w:t xml:space="preserve"> </w:t>
            </w:r>
            <w:r>
              <w:rPr>
                <w:rFonts w:ascii="Tinos" w:hAnsi="Tinos" w:eastAsia="Tinos" w:cs="Tinos"/>
                <w:sz w:val="24"/>
                <w:szCs w:val="24"/>
                <w:highlight w:val="none"/>
              </w:rPr>
              <w:t xml:space="preserve">принтера</w:t>
            </w:r>
            <w:r>
              <w:rPr>
                <w:rFonts w:ascii="Tinos" w:hAnsi="Tinos" w:eastAsia="Tinos" w:cs="Tinos"/>
                <w:spacing w:val="-5"/>
                <w:sz w:val="24"/>
                <w:szCs w:val="24"/>
                <w:highlight w:val="none"/>
              </w:rPr>
              <w:t xml:space="preserve"> </w:t>
            </w:r>
            <w:r>
              <w:rPr>
                <w:rFonts w:ascii="Tinos" w:hAnsi="Tinos" w:eastAsia="Tinos" w:cs="Tinos"/>
                <w:sz w:val="24"/>
                <w:szCs w:val="24"/>
                <w:highlight w:val="none"/>
              </w:rPr>
              <w:t xml:space="preserve">или</w:t>
            </w:r>
            <w:r>
              <w:rPr>
                <w:rFonts w:ascii="Tinos" w:hAnsi="Tinos" w:eastAsia="Tinos" w:cs="Tinos"/>
                <w:spacing w:val="-57"/>
                <w:sz w:val="24"/>
                <w:szCs w:val="24"/>
                <w:highlight w:val="none"/>
              </w:rPr>
              <w:t xml:space="preserve"> </w:t>
            </w:r>
            <w:r>
              <w:rPr>
                <w:rFonts w:ascii="Tinos" w:hAnsi="Tinos" w:eastAsia="Tinos" w:cs="Tinos"/>
                <w:sz w:val="24"/>
                <w:szCs w:val="24"/>
                <w:highlight w:val="none"/>
              </w:rPr>
              <w:t xml:space="preserve">сканера</w:t>
            </w:r>
            <w:r>
              <w:rPr>
                <w:rFonts w:ascii="Tinos" w:hAnsi="Tinos" w:eastAsia="Tinos" w:cs="Tinos"/>
                <w:spacing w:val="-2"/>
                <w:sz w:val="24"/>
                <w:szCs w:val="24"/>
                <w:highlight w:val="none"/>
              </w:rPr>
              <w:t xml:space="preserve"> </w:t>
            </w:r>
            <w:r>
              <w:rPr>
                <w:rFonts w:ascii="Tinos" w:hAnsi="Tinos" w:eastAsia="Tinos" w:cs="Tinos"/>
                <w:sz w:val="24"/>
                <w:szCs w:val="24"/>
                <w:highlight w:val="none"/>
              </w:rPr>
              <w:t xml:space="preserve">к компьютеру</w:t>
            </w:r>
            <w:r>
              <w:rPr>
                <w:rFonts w:ascii="Tinos" w:hAnsi="Tinos" w:eastAsia="Tinos" w:cs="Tinos"/>
                <w:spacing w:val="-8"/>
                <w:sz w:val="24"/>
                <w:szCs w:val="24"/>
                <w:highlight w:val="none"/>
              </w:rPr>
              <w:t xml:space="preserve"> </w:t>
            </w:r>
            <w:r>
              <w:rPr>
                <w:rFonts w:ascii="Tinos" w:hAnsi="Tinos" w:eastAsia="Tinos" w:cs="Tinos"/>
                <w:sz w:val="24"/>
                <w:szCs w:val="24"/>
                <w:highlight w:val="none"/>
              </w:rPr>
              <w:t xml:space="preserve">(ноутбуку)</w:t>
            </w:r>
            <w:r>
              <w:rPr>
                <w:rFonts w:ascii="Tinos" w:hAnsi="Tinos" w:cs="Tinos"/>
                <w:sz w:val="24"/>
                <w:szCs w:val="24"/>
                <w:highlight w:val="none"/>
              </w:rPr>
            </w:r>
            <w:r>
              <w:rPr>
                <w:rFonts w:ascii="Tinos" w:hAnsi="Tinos" w:cs="Tinos"/>
                <w:sz w:val="24"/>
                <w:szCs w:val="24"/>
                <w:highlight w:val="none"/>
              </w:rPr>
            </w:r>
          </w:p>
        </w:tc>
      </w:tr>
    </w:tbl>
    <w:p>
      <w:pPr>
        <w:ind w:left="-1133" w:right="368" w:firstLine="0"/>
        <w:jc w:val="left"/>
        <w:spacing w:before="0" w:beforeAutospacing="0" w:after="0" w:afterAutospacing="0" w:line="240" w:lineRule="auto"/>
        <w:rPr>
          <w:rFonts w:ascii="Tinos" w:hAnsi="Tinos" w:cs="Tinos"/>
          <w:highlight w:val="cyan"/>
        </w:rPr>
      </w:pPr>
      <w:r>
        <w:rPr>
          <w:rFonts w:ascii="Tinos" w:hAnsi="Tinos" w:eastAsia="Tinos" w:cs="Tinos"/>
          <w:highlight w:val="cyan"/>
          <w:lang w:val="ru-RU"/>
        </w:rPr>
      </w:r>
      <w:r>
        <w:rPr>
          <w:rFonts w:ascii="Tinos" w:hAnsi="Tinos" w:cs="Tinos"/>
          <w:highlight w:val="cyan"/>
        </w:rPr>
      </w:r>
      <w:r>
        <w:rPr>
          <w:rFonts w:ascii="Tinos" w:hAnsi="Tinos" w:cs="Tinos"/>
          <w:highlight w:val="cyan"/>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На компьютерах (ноутбуках) перед началом каждого периода должна быть установлена «чистая» операционная система (новая установка) и программное обеспечение, необходимое для работы соответствующей станции ППЭ. Установка другого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до</w:t>
      </w:r>
      <w:r>
        <w:rPr>
          <w:rFonts w:ascii="Tinos" w:hAnsi="Tinos" w:eastAsia="Tinos" w:cs="Tinos"/>
          <w:sz w:val="28"/>
          <w:szCs w:val="28"/>
          <w:highlight w:val="none"/>
          <w:lang w:val="ru-RU"/>
        </w:rPr>
        <w:t xml:space="preserve"> окончания использования станций ППЭ при проведении ЕГЭ запрещается</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В случае использования USB-концентратора следует использовать следующий порядок подключения:</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токен</w:t>
      </w:r>
      <w:r>
        <w:rPr>
          <w:rFonts w:ascii="Tinos" w:hAnsi="Tinos" w:eastAsia="Tinos" w:cs="Tinos"/>
          <w:sz w:val="28"/>
          <w:szCs w:val="28"/>
          <w:highlight w:val="none"/>
          <w:lang w:val="ru-RU"/>
        </w:rPr>
        <w:t xml:space="preserve"> члена ГЭК – непосредственно в USB-порт компьютера (ноутбука);</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принтер/сканер/</w:t>
      </w:r>
      <w:r>
        <w:rPr>
          <w:rFonts w:ascii="Tinos" w:hAnsi="Tinos" w:eastAsia="Tinos" w:cs="Tinos"/>
          <w:sz w:val="28"/>
          <w:szCs w:val="28"/>
          <w:highlight w:val="none"/>
          <w:lang w:val="ru-RU"/>
        </w:rPr>
        <w:t xml:space="preserve">аудиогарнитура</w:t>
      </w:r>
      <w:r>
        <w:rPr>
          <w:rFonts w:ascii="Tinos" w:hAnsi="Tinos" w:eastAsia="Tinos" w:cs="Tinos"/>
          <w:sz w:val="28"/>
          <w:szCs w:val="28"/>
          <w:highlight w:val="none"/>
          <w:lang w:val="ru-RU"/>
        </w:rPr>
        <w:t xml:space="preserve"> (при подключении через USB) – непосредственно в USB-порт компьютера (ноутбука).</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флеш-накопитель</w:t>
      </w:r>
      <w:r>
        <w:rPr>
          <w:rFonts w:ascii="Tinos" w:hAnsi="Tinos" w:eastAsia="Tinos" w:cs="Tinos"/>
          <w:sz w:val="28"/>
          <w:szCs w:val="28"/>
          <w:highlight w:val="none"/>
          <w:lang w:val="ru-RU"/>
        </w:rPr>
        <w:t xml:space="preserve">, манипулятор «мышь» - через USB-концентратор.</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 организации доступа к личному кабинету ППЭ должны выполняться требования </w:t>
      </w:r>
      <w:r>
        <w:rPr>
          <w:rFonts w:ascii="Tinos" w:hAnsi="Tinos" w:eastAsia="Tinos" w:cs="Tinos"/>
          <w:sz w:val="28"/>
          <w:szCs w:val="28"/>
          <w:highlight w:val="none"/>
          <w:lang w:val="ru-RU"/>
        </w:rPr>
        <w:t xml:space="preserve">по обеспечению безопасности персональных данных при их обработке в информационной системе в соответствии с законодательством</w:t>
      </w:r>
      <w:r>
        <w:rPr>
          <w:rFonts w:ascii="Tinos" w:hAnsi="Tinos" w:eastAsia="Tinos" w:cs="Tinos"/>
          <w:sz w:val="28"/>
          <w:szCs w:val="28"/>
          <w:highlight w:val="none"/>
          <w:lang w:val="ru-RU"/>
        </w:rPr>
        <w:t xml:space="preserve"> Российской Федерации. Подтверждением выполнения мер на соответствие требованиям по защите информации является аттестат соответствия требованиям по защите информации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 ускорения процесса обработки бланков в ППЭ может быть использовано более одной Станции Штаба ППЭ. Их количество РЦОИ определяет самостоятельно, исходя из числа участников экзамена, распред</w:t>
      </w:r>
      <w:r>
        <w:rPr>
          <w:rFonts w:ascii="Tinos" w:hAnsi="Tinos" w:eastAsia="Tinos" w:cs="Tinos"/>
          <w:sz w:val="28"/>
          <w:szCs w:val="28"/>
          <w:highlight w:val="none"/>
          <w:lang w:val="ru-RU"/>
        </w:rPr>
        <w:t xml:space="preserve">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В случае несоответствия используемых компьютеров (ноутбуков) указанным требованиям допускается их использование по усмотрению </w:t>
      </w:r>
      <w:r>
        <w:rPr>
          <w:rFonts w:ascii="Tinos" w:hAnsi="Tinos" w:eastAsia="Tinos" w:cs="Tinos"/>
          <w:sz w:val="28"/>
          <w:szCs w:val="28"/>
          <w:highlight w:val="none"/>
          <w:lang w:val="ru-RU"/>
        </w:rPr>
        <w:t xml:space="preserve">Министерства образования области</w:t>
      </w:r>
      <w:r>
        <w:rPr>
          <w:rFonts w:ascii="Tinos" w:hAnsi="Tinos" w:eastAsia="Tinos" w:cs="Tinos"/>
          <w:sz w:val="28"/>
          <w:szCs w:val="28"/>
          <w:highlight w:val="none"/>
          <w:lang w:val="ru-RU"/>
        </w:rPr>
        <w:t xml:space="preserve"> при условии успешного проведения на данном оборудовании регионального и всероссийского тренировочного мероприятия.</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Важно! Всем компьютерам (ноутбукам) должен быть присвоен уникальный в ППЭ номер компьютера (ноутбука), в случае установки на компьютер (ноутбук) нескольких видов ПО, номер компьютера (ноутбука) в каждом ПО должен совпадать.</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использовании отдельно взятого компьютера (ноутбука), которому в ППЭ присвоен свой уникальный номер, при проведении экзаменов:</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ДОПУСКАЕТСЯ: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устанавливать, в дополнение к основной станции организатора, основную станцию КЕГЭ (при проведении экзамена в ППЭ на дому);</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устанавливать, в дополнение к основной станции организатора, основную станцию Штаба ППЭ (при проведении экзамена в ППЭ на дому) при условии последовательного использования (одновременный запуск станции организатора и станции Штаба ППЭ запрещены);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использовать станцию организатора, установленную на этом компьютере (ноутбуке), для печати ЭМ по разным учебным предметам, если экзамен по ним проводится в одной аудитории в день проведения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r>
        <w:rPr>
          <w:rFonts w:ascii="Tinos" w:hAnsi="Tinos" w:cs="Tinos"/>
          <w:sz w:val="28"/>
          <w:szCs w:val="28"/>
          <w:highlight w:val="none"/>
        </w:rPr>
      </w:r>
      <w:r>
        <w:rPr>
          <w:rFonts w:ascii="Tinos" w:hAnsi="Tinos" w:cs="Tinos"/>
          <w:sz w:val="28"/>
          <w:szCs w:val="28"/>
          <w:highlight w:val="none"/>
        </w:rPr>
      </w:r>
    </w:p>
    <w:p>
      <w:pPr>
        <w:ind w:right="11" w:firstLine="697"/>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ДОПУСКАЕТСЯ (в том числе запрещается при передаче электронных актов в систему мониторинга готовности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использовать как основную или резервную станцию одного типа одновременно в двух и более различных аудиториях.</w:t>
      </w:r>
      <w:r>
        <w:rPr>
          <w:rFonts w:ascii="Tinos" w:hAnsi="Tinos" w:cs="Tinos"/>
          <w:sz w:val="28"/>
          <w:szCs w:val="28"/>
          <w:highlight w:val="none"/>
        </w:rPr>
      </w:r>
      <w:r>
        <w:rPr>
          <w:rFonts w:ascii="Tinos" w:hAnsi="Tinos" w:cs="Tinos"/>
          <w:sz w:val="28"/>
          <w:szCs w:val="28"/>
          <w:highlight w:val="none"/>
        </w:rPr>
      </w:r>
    </w:p>
    <w:p>
      <w:pPr>
        <w:ind w:left="708" w:right="0" w:firstLine="0"/>
        <w:jc w:val="left"/>
        <w:spacing w:before="0" w:beforeAutospacing="0" w:after="0" w:afterAutospacing="0" w:line="240" w:lineRule="auto"/>
        <w:rPr>
          <w:rFonts w:ascii="Tinos" w:hAnsi="Tinos" w:cs="Tinos"/>
          <w:highlight w:val="cyan"/>
        </w:rPr>
      </w:pPr>
      <w:r>
        <w:rPr>
          <w:rFonts w:ascii="Tinos" w:hAnsi="Tinos" w:eastAsia="Tinos" w:cs="Tinos"/>
          <w:highlight w:val="cyan"/>
          <w:lang w:val="ru-RU"/>
        </w:rPr>
        <w:t xml:space="preserve"> </w:t>
      </w:r>
      <w:r>
        <w:rPr>
          <w:rFonts w:ascii="Tinos" w:hAnsi="Tinos" w:cs="Tinos"/>
          <w:highlight w:val="cyan"/>
        </w:rPr>
      </w:r>
      <w:r>
        <w:rPr>
          <w:rFonts w:ascii="Tinos" w:hAnsi="Tinos" w:cs="Tinos"/>
          <w:highlight w:val="cyan"/>
        </w:rPr>
      </w:r>
    </w:p>
    <w:p>
      <w:pPr>
        <w:numPr>
          <w:ilvl w:val="0"/>
          <w:numId w:val="1"/>
        </w:numPr>
        <w:ind w:left="0" w:firstLine="0"/>
        <w:jc w:val="center"/>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Рекомендации по проведению КЕГЭ в ППЭ для участников КЕГЭ с ограниченными возможностями здоровья (далее – ОВЗ), участников экзаменов – детей-инвалидов и инвалидов</w:t>
      </w:r>
      <w:r>
        <w:rPr>
          <w:rFonts w:ascii="Tinos" w:hAnsi="Tinos" w:cs="Tinos"/>
          <w:sz w:val="28"/>
          <w:szCs w:val="28"/>
          <w:highlight w:val="none"/>
        </w:rPr>
      </w:r>
      <w:r>
        <w:rPr>
          <w:rFonts w:ascii="Tinos" w:hAnsi="Tinos" w:cs="Tinos"/>
          <w:sz w:val="28"/>
          <w:szCs w:val="28"/>
          <w:highlight w:val="none"/>
        </w:rPr>
      </w:r>
    </w:p>
    <w:p>
      <w:pPr>
        <w:ind w:left="693" w:right="-1" w:firstLine="0"/>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Особенности</w:t>
      </w:r>
      <w:r>
        <w:rPr>
          <w:rFonts w:ascii="Tinos" w:hAnsi="Tinos" w:eastAsia="Tinos" w:cs="Tinos"/>
          <w:sz w:val="28"/>
          <w:szCs w:val="28"/>
          <w:highlight w:val="none"/>
        </w:rPr>
        <w:t xml:space="preserve"> </w:t>
      </w:r>
      <w:r>
        <w:rPr>
          <w:rFonts w:ascii="Tinos" w:hAnsi="Tinos" w:eastAsia="Tinos" w:cs="Tinos"/>
          <w:sz w:val="28"/>
          <w:szCs w:val="28"/>
          <w:highlight w:val="none"/>
        </w:rPr>
        <w:t xml:space="preserve">организации</w:t>
      </w:r>
      <w:r>
        <w:rPr>
          <w:rFonts w:ascii="Tinos" w:hAnsi="Tinos" w:eastAsia="Tinos" w:cs="Tinos"/>
          <w:sz w:val="28"/>
          <w:szCs w:val="28"/>
          <w:highlight w:val="none"/>
        </w:rPr>
        <w:t xml:space="preserve"> ППЭ</w:t>
      </w:r>
      <w:r>
        <w:rPr>
          <w:rFonts w:ascii="Tinos" w:hAnsi="Tinos" w:eastAsia="Tinos" w:cs="Tinos"/>
          <w:b/>
          <w:sz w:val="28"/>
          <w:szCs w:val="28"/>
          <w:highlight w:val="none"/>
        </w:rPr>
        <w:t xml:space="preserve"> </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ЕГЭ по информатике проводится в компьютерной форме для всех категорий участников, предоставление КИМ КЕГЭ на бумажных носителях (за исключением текстов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 КЕГЭ, выполненных рельефно-точечным шрифтом Брайля) не предусмотрено</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14"/>
        <w:ind w:firstLine="698"/>
        <w:jc w:val="both"/>
        <w:spacing w:before="0" w:beforeAutospacing="0" w:after="0" w:afterAutospacing="0"/>
        <w:rPr>
          <w:rFonts w:ascii="Tinos" w:hAnsi="Tinos" w:cs="Tinos"/>
          <w:sz w:val="28"/>
          <w:szCs w:val="28"/>
          <w:highlight w:val="none"/>
        </w:rPr>
      </w:pPr>
      <w:r>
        <w:rPr>
          <w:rFonts w:ascii="Tinos" w:hAnsi="Tinos" w:eastAsia="Tinos" w:cs="Tinos"/>
          <w:b/>
          <w:bCs/>
          <w:sz w:val="28"/>
          <w:szCs w:val="28"/>
          <w:highlight w:val="none"/>
        </w:rPr>
        <w:t xml:space="preserve">Для слепых, </w:t>
      </w:r>
      <w:r>
        <w:rPr>
          <w:rFonts w:ascii="Tinos" w:hAnsi="Tinos" w:eastAsia="Tinos" w:cs="Tinos"/>
          <w:b/>
          <w:bCs/>
          <w:sz w:val="28"/>
          <w:szCs w:val="28"/>
          <w:highlight w:val="none"/>
        </w:rPr>
        <w:t xml:space="preserve">поздноослепших</w:t>
      </w:r>
      <w:r>
        <w:rPr>
          <w:rFonts w:ascii="Tinos" w:hAnsi="Tinos" w:eastAsia="Tinos" w:cs="Tinos"/>
          <w:b/>
          <w:bCs/>
          <w:sz w:val="28"/>
          <w:szCs w:val="28"/>
          <w:highlight w:val="none"/>
        </w:rPr>
        <w:t xml:space="preserve">, слабовидящих участников экзамена, </w:t>
      </w:r>
      <w:r>
        <w:rPr>
          <w:rFonts w:ascii="Tinos" w:hAnsi="Tinos" w:eastAsia="Tinos" w:cs="Tinos"/>
          <w:b/>
          <w:bCs/>
          <w:sz w:val="28"/>
          <w:szCs w:val="28"/>
          <w:highlight w:val="none"/>
        </w:rPr>
        <w:t xml:space="preserve">использующих рельефно-точечный шрифт Брайля</w:t>
      </w:r>
      <w:r>
        <w:rPr>
          <w:rFonts w:ascii="Tinos" w:hAnsi="Tinos" w:eastAsia="Tinos" w:cs="Tinos"/>
          <w:sz w:val="28"/>
          <w:szCs w:val="28"/>
          <w:highlight w:val="none"/>
        </w:rPr>
        <w:t xml:space="preserve">, аудитории ППЭ обеспечиваются компьютерами (ноутбуками), оснащенными портативным тактильным дисплеем Брайля, наушниками (или </w:t>
      </w:r>
      <w:r>
        <w:rPr>
          <w:rFonts w:ascii="Tinos" w:hAnsi="Tinos" w:eastAsia="Tinos" w:cs="Tinos"/>
          <w:sz w:val="28"/>
          <w:szCs w:val="28"/>
          <w:highlight w:val="none"/>
        </w:rPr>
        <w:t xml:space="preserve">аудиогарнитурой</w:t>
      </w:r>
      <w:r>
        <w:rPr>
          <w:rFonts w:ascii="Tinos" w:hAnsi="Tinos" w:eastAsia="Tinos" w:cs="Tinos"/>
          <w:sz w:val="28"/>
          <w:szCs w:val="28"/>
          <w:highlight w:val="none"/>
        </w:rPr>
        <w:t xml:space="preserve">), специализированным программным обеспечением (программой экранного доступа или программой экранного доступа и увеличения). </w:t>
      </w:r>
      <w:r>
        <w:rPr>
          <w:rFonts w:ascii="Tinos" w:hAnsi="Tinos" w:cs="Tinos"/>
          <w:sz w:val="28"/>
          <w:szCs w:val="28"/>
          <w:highlight w:val="none"/>
        </w:rPr>
      </w:r>
      <w:r>
        <w:rPr>
          <w:rFonts w:ascii="Tinos" w:hAnsi="Tinos" w:cs="Tinos"/>
          <w:sz w:val="28"/>
          <w:szCs w:val="28"/>
          <w:highlight w:val="none"/>
        </w:rPr>
      </w:r>
    </w:p>
    <w:p>
      <w:pPr>
        <w:pStyle w:val="1014"/>
        <w:ind w:firstLine="698"/>
        <w:jc w:val="both"/>
        <w:spacing w:before="0" w:beforeAutospacing="0" w:after="0" w:afterAutospacing="0"/>
        <w:rPr>
          <w:rFonts w:ascii="Tinos" w:hAnsi="Tinos" w:cs="Tinos"/>
          <w:sz w:val="28"/>
          <w:szCs w:val="28"/>
          <w:highlight w:val="none"/>
        </w:rPr>
      </w:pPr>
      <w:r>
        <w:rPr>
          <w:rFonts w:ascii="Tinos" w:hAnsi="Tinos" w:eastAsia="Tinos" w:cs="Tinos"/>
          <w:b/>
          <w:bCs/>
          <w:sz w:val="28"/>
          <w:szCs w:val="28"/>
          <w:highlight w:val="none"/>
        </w:rPr>
        <w:t xml:space="preserve">Для слабовидящих участников экзамена </w:t>
      </w:r>
      <w:r>
        <w:rPr>
          <w:rFonts w:ascii="Tinos" w:hAnsi="Tinos" w:eastAsia="Tinos" w:cs="Tinos"/>
          <w:sz w:val="28"/>
          <w:szCs w:val="28"/>
          <w:highlight w:val="none"/>
        </w:rPr>
        <w:t xml:space="preserve">освещенность каждого рабочего места в аудитории должна быть индивидуальной равномерной и не менее 300 люкс. Возможно использование индивидуальных светодиодных средств освещения (настольные лампы</w:t>
      </w:r>
      <w:r>
        <w:rPr>
          <w:rFonts w:ascii="Tinos" w:hAnsi="Tinos" w:eastAsia="Tinos" w:cs="Tinos"/>
          <w:sz w:val="28"/>
          <w:szCs w:val="28"/>
          <w:highlight w:val="none"/>
        </w:rPr>
        <w:t xml:space="preserve">) с регулировкой освещения в динамическом диапазоне до 600 люкс, но не менее 300 люкс при отсутствии динамической регулировки. Предоставляемые участникам компьютеры дополнительно оснащаются монитором с диагональю экрана не менее 19 дюймов, наушниками (или </w:t>
      </w:r>
      <w:r>
        <w:rPr>
          <w:rFonts w:ascii="Tinos" w:hAnsi="Tinos" w:eastAsia="Tinos" w:cs="Tinos"/>
          <w:sz w:val="28"/>
          <w:szCs w:val="28"/>
          <w:highlight w:val="none"/>
        </w:rPr>
        <w:t xml:space="preserve">аудиогарнитурой</w:t>
      </w:r>
      <w:r>
        <w:rPr>
          <w:rFonts w:ascii="Tinos" w:hAnsi="Tinos" w:eastAsia="Tinos" w:cs="Tinos"/>
          <w:sz w:val="28"/>
          <w:szCs w:val="28"/>
          <w:highlight w:val="none"/>
        </w:rPr>
        <w:t xml:space="preserve">), специализированным программным обеспечением (программой экранного увеличения или программой экранного доступа и увеличения). </w:t>
      </w:r>
      <w:r>
        <w:rPr>
          <w:rFonts w:ascii="Tinos" w:hAnsi="Tinos" w:cs="Tinos"/>
          <w:sz w:val="28"/>
          <w:szCs w:val="28"/>
          <w:highlight w:val="none"/>
        </w:rPr>
      </w:r>
      <w:r>
        <w:rPr>
          <w:rFonts w:ascii="Tinos" w:hAnsi="Tinos" w:cs="Tinos"/>
          <w:sz w:val="28"/>
          <w:szCs w:val="28"/>
          <w:highlight w:val="none"/>
        </w:rPr>
      </w:r>
    </w:p>
    <w:p>
      <w:pPr>
        <w:pStyle w:val="1014"/>
        <w:ind w:firstLine="698"/>
        <w:jc w:val="both"/>
        <w:spacing w:before="0" w:beforeAutospacing="0" w:after="0" w:afterAutospacing="0"/>
        <w:rPr>
          <w:rFonts w:ascii="Tinos" w:hAnsi="Tinos" w:cs="Tinos"/>
          <w:sz w:val="28"/>
          <w:szCs w:val="28"/>
          <w:highlight w:val="none"/>
        </w:rPr>
      </w:pPr>
      <w:r>
        <w:rPr>
          <w:rFonts w:ascii="Tinos" w:hAnsi="Tinos" w:eastAsia="Tinos" w:cs="Tinos"/>
          <w:b/>
          <w:bCs/>
          <w:sz w:val="28"/>
          <w:szCs w:val="28"/>
          <w:highlight w:val="none"/>
        </w:rPr>
        <w:t xml:space="preserve">Для участников с нарушением опорно-двигательного аппарата </w:t>
      </w:r>
      <w:r>
        <w:rPr>
          <w:rFonts w:ascii="Tinos" w:hAnsi="Tinos" w:eastAsia="Tinos" w:cs="Tinos"/>
          <w:sz w:val="28"/>
          <w:szCs w:val="28"/>
          <w:highlight w:val="none"/>
        </w:rPr>
        <w:t xml:space="preserve">аудитории ППЭ обеспечиваются компьютерами, оснащенными монитором с диагональю экрана не менее 19 дюймов, вспомогательным оборудованием, учитывающим индивидуальные особенности </w:t>
      </w:r>
      <w:r>
        <w:rPr>
          <w:rFonts w:ascii="Tinos" w:hAnsi="Tinos" w:eastAsia="Tinos" w:cs="Tinos"/>
          <w:sz w:val="28"/>
          <w:szCs w:val="28"/>
          <w:highlight w:val="none"/>
        </w:rPr>
        <w:t xml:space="preserve">манипулятивных</w:t>
      </w:r>
      <w:r>
        <w:rPr>
          <w:rFonts w:ascii="Tinos" w:hAnsi="Tinos" w:eastAsia="Tinos" w:cs="Tinos"/>
          <w:sz w:val="28"/>
          <w:szCs w:val="28"/>
          <w:highlight w:val="none"/>
        </w:rPr>
        <w:t xml:space="preserve"> функций, зрительного восприятия и зрительно-моторной координации участника экзамена. </w:t>
      </w:r>
      <w:r>
        <w:rPr>
          <w:rFonts w:ascii="Tinos" w:hAnsi="Tinos" w:cs="Tinos"/>
          <w:sz w:val="28"/>
          <w:szCs w:val="28"/>
          <w:highlight w:val="none"/>
        </w:rPr>
      </w:r>
      <w:r>
        <w:rPr>
          <w:rFonts w:ascii="Tinos" w:hAnsi="Tinos" w:cs="Tinos"/>
          <w:sz w:val="28"/>
          <w:szCs w:val="28"/>
          <w:highlight w:val="none"/>
        </w:rPr>
      </w:r>
    </w:p>
    <w:p>
      <w:pPr>
        <w:pStyle w:val="1014"/>
        <w:ind w:firstLine="698"/>
        <w:jc w:val="both"/>
        <w:spacing w:before="0" w:beforeAutospacing="0" w:after="0" w:afterAutospacing="0"/>
        <w:rPr>
          <w:rFonts w:ascii="Tinos" w:hAnsi="Tinos" w:cs="Tinos"/>
          <w:sz w:val="28"/>
          <w:szCs w:val="28"/>
          <w:highlight w:val="none"/>
        </w:rPr>
      </w:pPr>
      <w:r>
        <w:rPr>
          <w:rFonts w:ascii="Tinos" w:hAnsi="Tinos" w:eastAsia="Tinos" w:cs="Tinos"/>
          <w:b/>
          <w:bCs/>
          <w:sz w:val="28"/>
          <w:szCs w:val="28"/>
          <w:highlight w:val="none"/>
        </w:rPr>
        <w:t xml:space="preserve">Для слабослышащих и </w:t>
      </w:r>
      <w:r>
        <w:rPr>
          <w:rFonts w:ascii="Tinos" w:hAnsi="Tinos" w:eastAsia="Tinos" w:cs="Tinos"/>
          <w:b/>
          <w:bCs/>
          <w:sz w:val="28"/>
          <w:szCs w:val="28"/>
          <w:highlight w:val="none"/>
        </w:rPr>
        <w:t xml:space="preserve">кохлеарно</w:t>
      </w:r>
      <w:r>
        <w:rPr>
          <w:rFonts w:ascii="Tinos" w:hAnsi="Tinos" w:eastAsia="Tinos" w:cs="Tinos"/>
          <w:b/>
          <w:bCs/>
          <w:sz w:val="28"/>
          <w:szCs w:val="28"/>
          <w:highlight w:val="none"/>
        </w:rPr>
        <w:t xml:space="preserve"> имплантированных участников экзамена </w:t>
      </w:r>
      <w:r>
        <w:rPr>
          <w:rFonts w:ascii="Tinos" w:hAnsi="Tinos" w:eastAsia="Tinos" w:cs="Tinos"/>
          <w:sz w:val="28"/>
          <w:szCs w:val="28"/>
          <w:highlight w:val="none"/>
        </w:rPr>
        <w:t xml:space="preserve">аудитории ППЭ оборудуются звукоусиливающей аппаратурой как коллективного, так и индивидуального пользования. </w:t>
      </w:r>
      <w:r>
        <w:rPr>
          <w:rFonts w:ascii="Tinos" w:hAnsi="Tinos" w:cs="Tinos"/>
          <w:sz w:val="28"/>
          <w:szCs w:val="28"/>
          <w:highlight w:val="none"/>
        </w:rPr>
      </w:r>
      <w:r>
        <w:rPr>
          <w:rFonts w:ascii="Tinos" w:hAnsi="Tinos" w:cs="Tinos"/>
          <w:sz w:val="28"/>
          <w:szCs w:val="28"/>
          <w:highlight w:val="none"/>
        </w:rPr>
      </w:r>
    </w:p>
    <w:p>
      <w:pPr>
        <w:pStyle w:val="1014"/>
        <w:ind w:firstLine="698"/>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Количество рабочих мест в каждой аудитории для у</w:t>
      </w:r>
      <w:r>
        <w:rPr>
          <w:rFonts w:ascii="Tinos" w:hAnsi="Tinos" w:eastAsia="Tinos" w:cs="Tinos"/>
          <w:sz w:val="28"/>
          <w:szCs w:val="28"/>
          <w:highlight w:val="none"/>
        </w:rPr>
        <w:t xml:space="preserve">частников КЕГЭ с ОВЗ, детей-инвалидов и инвалидов определяется в зависимости от нозологической группы, используемых ими технических средств (рекомендации по количеству участников экзамена с ОВЗ, детей-инвалидов и инвалидов в одной аудитории представлено в </w:t>
      </w:r>
      <w:r>
        <w:rPr>
          <w:rFonts w:ascii="Tinos" w:hAnsi="Tinos" w:eastAsia="Tinos" w:cs="Tinos"/>
          <w:sz w:val="28"/>
          <w:szCs w:val="28"/>
          <w:highlight w:val="none"/>
        </w:rPr>
        <w:t xml:space="preserve">пункте</w:t>
      </w:r>
      <w:r>
        <w:rPr>
          <w:rFonts w:ascii="Tinos" w:hAnsi="Tinos" w:eastAsia="Tinos" w:cs="Tinos"/>
          <w:sz w:val="28"/>
          <w:szCs w:val="28"/>
          <w:highlight w:val="none"/>
        </w:rPr>
        <w:t xml:space="preserve"> 8.5</w:t>
      </w:r>
      <w:r>
        <w:rPr>
          <w:rFonts w:ascii="Tinos" w:hAnsi="Tinos" w:eastAsia="Tinos" w:cs="Tinos"/>
          <w:sz w:val="28"/>
          <w:szCs w:val="28"/>
          <w:highlight w:val="none"/>
        </w:rPr>
        <w:t xml:space="preserve"> настоящей Инструкции). </w:t>
      </w:r>
      <w:r>
        <w:rPr>
          <w:rFonts w:ascii="Tinos" w:hAnsi="Tinos" w:cs="Tinos"/>
          <w:sz w:val="28"/>
          <w:szCs w:val="28"/>
          <w:highlight w:val="none"/>
        </w:rPr>
      </w:r>
      <w:r>
        <w:rPr>
          <w:rFonts w:ascii="Tinos" w:hAnsi="Tinos" w:cs="Tinos"/>
          <w:sz w:val="28"/>
          <w:szCs w:val="28"/>
          <w:highlight w:val="none"/>
        </w:rPr>
      </w:r>
    </w:p>
    <w:p>
      <w:pPr>
        <w:pStyle w:val="1014"/>
        <w:ind w:firstLine="698"/>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Для проведения КЕГЭ для участников экзамена с ОВЗ, участников экзамена </w:t>
      </w:r>
      <w:r>
        <w:rPr>
          <w:rFonts w:ascii="Tinos" w:hAnsi="Tinos" w:eastAsia="Tinos" w:cs="Tinos"/>
          <w:sz w:val="28"/>
          <w:szCs w:val="28"/>
          <w:highlight w:val="none"/>
        </w:rPr>
        <w:t xml:space="preserve">–и</w:t>
      </w:r>
      <w:r>
        <w:rPr>
          <w:rFonts w:ascii="Tinos" w:hAnsi="Tinos" w:eastAsia="Tinos" w:cs="Tinos"/>
          <w:sz w:val="28"/>
          <w:szCs w:val="28"/>
          <w:highlight w:val="none"/>
        </w:rPr>
        <w:t xml:space="preserve">нвалидов и детей-инвалидов необходимо устанавливать версию ПО «Станция КЕГЭ» для участников с ОВЗ с учетом требований, предъявляемых для соответствующих категорий: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b/>
          <w:bCs/>
          <w:sz w:val="28"/>
          <w:szCs w:val="28"/>
          <w:highlight w:val="none"/>
          <w:lang w:val="ru-RU"/>
        </w:rPr>
        <w:t xml:space="preserve">версия для участников с ОВЗ (расширенные настройки) </w:t>
      </w:r>
      <w:r>
        <w:rPr>
          <w:rFonts w:ascii="Tinos" w:hAnsi="Tinos" w:eastAsia="Tinos" w:cs="Tinos"/>
          <w:sz w:val="28"/>
          <w:szCs w:val="28"/>
          <w:highlight w:val="none"/>
          <w:lang w:val="ru-RU"/>
        </w:rPr>
        <w:t xml:space="preserve">устанавливается для слабовидящих участников, участников с нарушениями опорно-двигательного аппарата (при наличии соответствующих рекомендаций ПМПК), слепых и слабовидящих участников экзамена, использующих рельефно-точечный </w:t>
      </w:r>
      <w:r>
        <w:rPr>
          <w:rFonts w:ascii="Tinos" w:hAnsi="Tinos" w:eastAsia="Tinos" w:cs="Tinos"/>
          <w:sz w:val="28"/>
          <w:szCs w:val="28"/>
          <w:highlight w:val="none"/>
          <w:lang w:val="ru-RU"/>
        </w:rPr>
        <w:t xml:space="preserve">шрифт Брайля для чтения </w:t>
      </w:r>
      <w:r>
        <w:rPr>
          <w:rFonts w:ascii="Tinos" w:hAnsi="Tinos" w:eastAsia="Tinos" w:cs="Tinos"/>
          <w:sz w:val="28"/>
          <w:szCs w:val="28"/>
          <w:highlight w:val="none"/>
          <w:lang w:val="ru-RU"/>
        </w:rPr>
        <w:t xml:space="preserve">текстов заданий к КИМ, и обеспечивает возможности по расширенной настройке интерфейса ПО для участника, указанная версия ПО «Станция КЕГЭ» предоставляется по запросу.</w:t>
      </w:r>
      <w:r>
        <w:rPr>
          <w:rFonts w:ascii="Tinos" w:hAnsi="Tinos" w:eastAsia="Tinos" w:cs="Tinos"/>
          <w:sz w:val="28"/>
          <w:szCs w:val="28"/>
          <w:highlight w:val="none"/>
          <w:lang w:val="ru-RU"/>
        </w:rPr>
        <w:t xml:space="preserve"> Компьютеры с установленной версией для участников с ОВЗ (расширенные настройки) должны располагаться в отдельной аудитории, в которой предусмотрена специализированная рассадка;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для остальных категорий участников, которым не требуются расширенные настройки интерфейса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устанавливается </w:t>
      </w:r>
      <w:r>
        <w:rPr>
          <w:rFonts w:ascii="Tinos" w:hAnsi="Tinos" w:eastAsia="Tinos" w:cs="Tinos"/>
          <w:b/>
          <w:bCs/>
          <w:sz w:val="28"/>
          <w:szCs w:val="28"/>
          <w:highlight w:val="none"/>
          <w:lang w:val="ru-RU"/>
        </w:rPr>
        <w:t xml:space="preserve">стандартная версия ПО «Станция КЕГЭ»</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На каждый компьютер (ноутбук) может быть установлена только одна версия </w:t>
      </w:r>
      <w:r>
        <w:rPr>
          <w:rFonts w:ascii="Tinos" w:hAnsi="Tinos" w:eastAsia="Tinos" w:cs="Tinos"/>
          <w:sz w:val="28"/>
          <w:szCs w:val="28"/>
          <w:highlight w:val="none"/>
        </w:rPr>
        <w:t xml:space="preserve">ПО</w:t>
      </w:r>
      <w:r>
        <w:rPr>
          <w:rFonts w:ascii="Tinos" w:hAnsi="Tinos" w:eastAsia="Tinos" w:cs="Tinos"/>
          <w:sz w:val="28"/>
          <w:szCs w:val="28"/>
          <w:highlight w:val="none"/>
        </w:rPr>
        <w:t xml:space="preserve"> «Станция КЕГЭ». Для работы версии для участников с ОВЗ (расширенные настройки) предъявляются увеличенные требования к техническим характеристикам (</w:t>
      </w:r>
      <w:r>
        <w:rPr>
          <w:rFonts w:ascii="Tinos" w:hAnsi="Tinos" w:eastAsia="Tinos" w:cs="Tinos"/>
          <w:sz w:val="28"/>
          <w:szCs w:val="28"/>
          <w:highlight w:val="none"/>
        </w:rPr>
        <w:t xml:space="preserve">пункт</w:t>
      </w:r>
      <w:r>
        <w:rPr>
          <w:rFonts w:ascii="Tinos" w:hAnsi="Tinos" w:eastAsia="Tinos" w:cs="Tinos"/>
          <w:sz w:val="28"/>
          <w:szCs w:val="28"/>
          <w:highlight w:val="none"/>
        </w:rPr>
        <w:t xml:space="preserve"> 8.</w:t>
      </w:r>
      <w:r>
        <w:rPr>
          <w:rFonts w:ascii="Tinos" w:hAnsi="Tinos" w:eastAsia="Tinos" w:cs="Tinos"/>
          <w:sz w:val="28"/>
          <w:szCs w:val="28"/>
          <w:highlight w:val="none"/>
        </w:rPr>
        <w:t xml:space="preserve">4</w:t>
      </w:r>
      <w:r>
        <w:rPr>
          <w:rFonts w:ascii="Tinos" w:hAnsi="Tinos" w:eastAsia="Tinos" w:cs="Tinos"/>
          <w:sz w:val="28"/>
          <w:szCs w:val="28"/>
          <w:highlight w:val="none"/>
        </w:rPr>
        <w:t xml:space="preserve"> настоящей Инструкции</w:t>
      </w:r>
      <w:r>
        <w:rPr>
          <w:rFonts w:ascii="Tinos" w:hAnsi="Tinos" w:eastAsia="Tinos" w:cs="Tinos"/>
          <w:sz w:val="28"/>
          <w:szCs w:val="28"/>
          <w:highlight w:val="none"/>
        </w:rPr>
        <w:t xml:space="preserve">).</w:t>
      </w:r>
      <w:r>
        <w:rPr>
          <w:rFonts w:ascii="Tinos" w:hAnsi="Tinos" w:eastAsia="Tinos" w:cs="Tinos"/>
          <w:sz w:val="28"/>
          <w:szCs w:val="28"/>
          <w:highlight w:val="none"/>
        </w:rPr>
        <w:t xml:space="preserve">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В случае проведения экзамена </w:t>
      </w:r>
      <w:r>
        <w:rPr>
          <w:rFonts w:ascii="Tinos" w:hAnsi="Tinos" w:eastAsia="Tinos" w:cs="Tinos"/>
          <w:b/>
          <w:bCs/>
          <w:sz w:val="28"/>
          <w:szCs w:val="28"/>
          <w:highlight w:val="none"/>
        </w:rPr>
        <w:t xml:space="preserve">для слепых и слабовидящих участников экзамена, использующих шрифт Брайля</w:t>
      </w:r>
      <w:r>
        <w:rPr>
          <w:rFonts w:ascii="Tinos" w:hAnsi="Tinos" w:eastAsia="Tinos" w:cs="Tinos"/>
          <w:sz w:val="28"/>
          <w:szCs w:val="28"/>
          <w:highlight w:val="none"/>
        </w:rPr>
        <w:t xml:space="preserve">, для каждого участника в ППЭ доставляются следующие ЭМ: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 регистрации на бумажном носителе;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тексты заданий к КИМ, оформленные рельефно-точечным шрифтом Брайля; черновик для записей рельефно-точечным шрифтом Брайля, представленный в виде тетра</w:t>
      </w:r>
      <w:r>
        <w:rPr>
          <w:rFonts w:ascii="Tinos" w:hAnsi="Tinos" w:eastAsia="Tinos" w:cs="Tinos"/>
          <w:sz w:val="28"/>
          <w:szCs w:val="28"/>
          <w:highlight w:val="none"/>
          <w:lang w:val="ru-RU"/>
        </w:rPr>
        <w:t xml:space="preserve">ди.</w:t>
      </w:r>
      <w:r>
        <w:rPr>
          <w:rFonts w:ascii="Tinos" w:hAnsi="Tinos" w:cs="Tinos"/>
          <w:sz w:val="28"/>
          <w:szCs w:val="28"/>
          <w:highlight w:val="none"/>
        </w:rPr>
      </w:r>
      <w:r>
        <w:rPr>
          <w:rFonts w:ascii="Tinos" w:hAnsi="Tinos" w:cs="Tinos"/>
          <w:sz w:val="28"/>
          <w:szCs w:val="28"/>
          <w:highlight w:val="none"/>
        </w:rPr>
      </w:r>
    </w:p>
    <w:p>
      <w:pPr>
        <w:pStyle w:val="1003"/>
        <w:ind w:left="709" w:right="0" w:firstLine="0"/>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КИМ для таких участников включен в интернет-пакет.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В день экзамена член ГЭК получает со склада </w:t>
      </w:r>
      <w:r>
        <w:rPr>
          <w:rFonts w:ascii="Tinos" w:hAnsi="Tinos" w:eastAsia="Tinos" w:cs="Tinos"/>
          <w:sz w:val="28"/>
          <w:szCs w:val="28"/>
          <w:highlight w:val="none"/>
        </w:rPr>
        <w:t xml:space="preserve">Управление специальной связи по Вологодской области</w:t>
      </w:r>
      <w:r>
        <w:rPr>
          <w:rFonts w:ascii="Tinos" w:hAnsi="Tinos" w:eastAsia="Tinos" w:cs="Tinos"/>
          <w:sz w:val="28"/>
          <w:szCs w:val="28"/>
          <w:highlight w:val="none"/>
        </w:rPr>
        <w:t xml:space="preserve">, бланк регистрации на бумажном носителе, тексты заданий к КИМ, оформленные рельефно-точечным шрифтом Брайля, и черновик для записей рельефно-точечным шрифтом Брайля, представленный в виде тетради, которые доставляет в ППЭ не позднее</w:t>
      </w:r>
      <w:r>
        <w:rPr>
          <w:rFonts w:ascii="Tinos" w:hAnsi="Tinos" w:eastAsia="Tinos" w:cs="Tinos"/>
          <w:sz w:val="28"/>
          <w:szCs w:val="28"/>
          <w:highlight w:val="none"/>
        </w:rPr>
        <w:t xml:space="preserve"> 7 часов </w:t>
      </w:r>
      <w:r>
        <w:rPr>
          <w:rFonts w:ascii="Tinos" w:hAnsi="Tinos" w:eastAsia="Tinos" w:cs="Tinos"/>
          <w:sz w:val="28"/>
          <w:szCs w:val="28"/>
          <w:highlight w:val="none"/>
        </w:rPr>
        <w:t xml:space="preserve">30</w:t>
      </w:r>
      <w:r>
        <w:rPr>
          <w:rFonts w:ascii="Tinos" w:hAnsi="Tinos" w:eastAsia="Tinos" w:cs="Tinos"/>
          <w:sz w:val="28"/>
          <w:szCs w:val="28"/>
          <w:highlight w:val="none"/>
        </w:rPr>
        <w:t xml:space="preserve"> минут</w:t>
      </w:r>
      <w:r>
        <w:rPr>
          <w:rFonts w:ascii="Tinos" w:hAnsi="Tinos" w:eastAsia="Tinos" w:cs="Tinos"/>
          <w:sz w:val="28"/>
          <w:szCs w:val="28"/>
          <w:highlight w:val="none"/>
        </w:rPr>
        <w:t xml:space="preserve">.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Печать бланков регистрации в ППЭ для участника экзамена в этом случае не выполняется, аудитория должна быть отмечена признаком «Без печати».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ППЭ должно быть оснащено следующим оборудованием: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омпьютером (ноутбуком), имеющим выход в сеть «Интернет», предназначенным для доступа в личный кабинет ППЭ, в котором обеспечиваются функции вза</w:t>
      </w:r>
      <w:r>
        <w:rPr>
          <w:rFonts w:ascii="Tinos" w:hAnsi="Tinos" w:eastAsia="Tinos" w:cs="Tinos"/>
          <w:sz w:val="28"/>
          <w:szCs w:val="28"/>
          <w:highlight w:val="none"/>
          <w:lang w:val="ru-RU"/>
        </w:rPr>
        <w:t xml:space="preserve">имодействия со специализированным федеральным порталом;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компьютерами (ноутбуками) с установленным ПО «Станция КЕГЭ», версия для участников с ОВЗ (расширенные настройки) и набором стандартного ПО, предоставляемого участнику экзамена во время экзамена.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Так как КЕГЭ является высокотехнологичным экзаменом и предполагает обязательное использование к</w:t>
      </w:r>
      <w:r>
        <w:rPr>
          <w:rFonts w:ascii="Tinos" w:hAnsi="Tinos" w:eastAsia="Tinos" w:cs="Tinos"/>
          <w:sz w:val="28"/>
          <w:szCs w:val="28"/>
          <w:highlight w:val="none"/>
        </w:rPr>
        <w:t xml:space="preserve">омпьютерной техники со специализированным программным обеспечением для демонстрации КИМ, выполнения ЭР и ввода ответов участника экзамена, в ППЭ на дому, в медицинской организации необходимо обеспечить оснащение указанным минимальным набором оборудования: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компьютером (ноутбуком), имеющим выход в сеть «Интернет», с доступом к личному кабинету ППЭ;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компьютером (ноутбуком) с установленным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 и Станцией организатора с подключенным к нему лазерным принтером и сканером. </w:t>
      </w:r>
      <w:r>
        <w:rPr>
          <w:rFonts w:ascii="Tinos" w:hAnsi="Tinos" w:eastAsia="Tinos" w:cs="Tinos"/>
          <w:sz w:val="28"/>
          <w:szCs w:val="28"/>
          <w:highlight w:val="none"/>
          <w:lang w:val="ru-RU"/>
        </w:rPr>
        <w:t xml:space="preserve">Также допустимо станцию Штаба ППЭ установить на компьютер (ноутбук) вместе со станциями организатора и КЕГЭ, но не использовать одновременно станцию организатора и станцию </w:t>
      </w:r>
      <w:r>
        <w:rPr>
          <w:rFonts w:ascii="Tinos" w:hAnsi="Tinos" w:eastAsia="Tinos" w:cs="Tinos"/>
          <w:sz w:val="28"/>
          <w:szCs w:val="28"/>
          <w:highlight w:val="none"/>
        </w:rPr>
        <w:t xml:space="preserve">Штаба</w:t>
      </w:r>
      <w:r>
        <w:rPr>
          <w:rFonts w:ascii="Tinos" w:hAnsi="Tinos" w:eastAsia="Tinos" w:cs="Tinos"/>
          <w:sz w:val="28"/>
          <w:szCs w:val="28"/>
          <w:highlight w:val="none"/>
        </w:rPr>
        <w:t xml:space="preserve"> ППЭ.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Для ППЭ на дому, в медицинской организации необходимо провести процедуры технической подготовки и контроля технической готовности. Указанные процедуры допустимо провести по месту расположения той организации, которой принадлежит используемая техника.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В качестве канала доступа к сети «Интернет» рекомендуется использовать USB-модем.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Количественный состав работников ППЭ для проведения КЕГЭ в данном ППЭ и потребность в резервном оборудовании определяет</w:t>
      </w:r>
      <w:r>
        <w:rPr>
          <w:rFonts w:ascii="Tinos" w:hAnsi="Tinos" w:eastAsia="Tinos" w:cs="Tinos"/>
          <w:sz w:val="28"/>
          <w:szCs w:val="28"/>
          <w:highlight w:val="none"/>
        </w:rPr>
        <w:t xml:space="preserve">ся РЦОИ</w:t>
      </w:r>
      <w:r>
        <w:rPr>
          <w:rFonts w:ascii="Tinos" w:hAnsi="Tinos" w:eastAsia="Tinos" w:cs="Tinos"/>
          <w:sz w:val="28"/>
          <w:szCs w:val="28"/>
          <w:highlight w:val="none"/>
        </w:rPr>
        <w:t xml:space="preserve">.</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Особенности проведения ГИА в ППЭ</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Допуск в ППЭ и рассадка в аудитории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не ранее 08 часов 15 минут проводит инструктаж по процедуре проведения экзамена с работниками ППЭ, на котором выдает организаторам: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rPr>
        <w:t xml:space="preserve">стандартные</w:t>
      </w:r>
      <w:r>
        <w:rPr>
          <w:rFonts w:ascii="Tinos" w:hAnsi="Tinos" w:eastAsia="Tinos" w:cs="Tinos"/>
          <w:sz w:val="28"/>
          <w:szCs w:val="28"/>
          <w:highlight w:val="none"/>
        </w:rPr>
        <w:t xml:space="preserve"> </w:t>
      </w:r>
      <w:r>
        <w:rPr>
          <w:rFonts w:ascii="Tinos" w:hAnsi="Tinos" w:eastAsia="Tinos" w:cs="Tinos"/>
          <w:sz w:val="28"/>
          <w:szCs w:val="28"/>
          <w:highlight w:val="none"/>
        </w:rPr>
        <w:t xml:space="preserve">формы</w:t>
      </w:r>
      <w:r>
        <w:rPr>
          <w:rFonts w:ascii="Tinos" w:hAnsi="Tinos" w:eastAsia="Tinos" w:cs="Tinos"/>
          <w:sz w:val="28"/>
          <w:szCs w:val="28"/>
          <w:highlight w:val="none"/>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для рельефно-точечного шрифта Брайля на каждого участника экзамена из расчета по десять листов на каждого участника</w:t>
      </w:r>
      <w:r>
        <w:rPr>
          <w:rFonts w:ascii="Tinos" w:hAnsi="Tinos" w:eastAsia="Tinos" w:cs="Tinos"/>
          <w:sz w:val="28"/>
          <w:szCs w:val="28"/>
          <w:highlight w:val="none"/>
          <w:lang w:val="ru-RU"/>
        </w:rPr>
        <w:t xml:space="preserve"> экзамена </w:t>
      </w:r>
      <w:r>
        <w:rPr>
          <w:rFonts w:ascii="Tinos" w:hAnsi="Tinos" w:eastAsia="Tinos" w:cs="Tinos"/>
          <w:b/>
          <w:i/>
          <w:sz w:val="28"/>
          <w:szCs w:val="28"/>
          <w:highlight w:val="none"/>
          <w:lang w:val="ru-RU"/>
        </w:rPr>
        <w:t xml:space="preserve">(для слепых и слабовидящих участников экзамена, использующих шрифт Брайля)</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участника КЕГЭ по одному комплекту на каждого участника экзамена (за исключением слепых и слабовидящих участников экзамена, использующих рельефно-точечный шрифт Брайля, а также слабовидящих участников КЕГЭ и участников</w:t>
      </w:r>
      <w:r>
        <w:rPr>
          <w:rFonts w:ascii="Tinos" w:hAnsi="Tinos" w:eastAsia="Tinos" w:cs="Tinos"/>
          <w:b/>
          <w:i/>
          <w:sz w:val="28"/>
          <w:szCs w:val="28"/>
          <w:highlight w:val="none"/>
          <w:lang w:val="ru-RU"/>
        </w:rPr>
        <w:t xml:space="preserve"> КЕГЭ с нарушением опорно-двигательного аппарата, если они нуждаются в масштабированных материалах</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«Обычные» черновики (выдаются по запросу участника, если недостаточно черновика участника КЕГЭ) (</w:t>
      </w:r>
      <w:r>
        <w:rPr>
          <w:rFonts w:ascii="Tinos" w:hAnsi="Tinos" w:eastAsia="Tinos" w:cs="Tinos"/>
          <w:b/>
          <w:i/>
          <w:sz w:val="28"/>
          <w:szCs w:val="28"/>
          <w:highlight w:val="none"/>
          <w:lang w:val="ru-RU"/>
        </w:rPr>
        <w:t xml:space="preserve">за исключением слепых и слабовидящих участников экзамена, использующих рельефно-точечный шрифт Брайля</w:t>
      </w:r>
      <w:r>
        <w:rPr>
          <w:rFonts w:ascii="Tinos" w:hAnsi="Tinos" w:eastAsia="Tinos" w:cs="Tinos"/>
          <w:sz w:val="28"/>
          <w:szCs w:val="28"/>
          <w:highlight w:val="none"/>
          <w:lang w:val="ru-RU"/>
        </w:rPr>
        <w:t xml:space="preserve">);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приложение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для соответствующего компьютера (</w:t>
      </w:r>
      <w:r>
        <w:rPr>
          <w:rFonts w:ascii="Tinos" w:hAnsi="Tinos" w:eastAsia="Tinos" w:cs="Tinos"/>
          <w:b/>
          <w:i/>
          <w:sz w:val="28"/>
          <w:szCs w:val="28"/>
          <w:highlight w:val="none"/>
          <w:lang w:val="ru-RU"/>
        </w:rPr>
        <w:t xml:space="preserve">за исключением слабовидящих участников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Дополнительно слабовидящим участникам экзамена, а также при необходимости участникам экзамена с нарушениями опорно-двигательного аппарата предоставляются: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масштабированный черновик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масштабированные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масштабированные 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br/>
      </w:r>
      <w:r>
        <w:rPr>
          <w:rFonts w:ascii="Tinos" w:hAnsi="Tinos" w:eastAsia="Tinos" w:cs="Tinos"/>
          <w:sz w:val="28"/>
          <w:szCs w:val="28"/>
          <w:highlight w:val="none"/>
          <w:lang w:val="ru-RU"/>
        </w:rPr>
        <w:t xml:space="preserve">для соответствующего компьютера.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организации ППЭ на дому, в медицинской организации руководитель ППЭ выдает организаторам указанные материалы 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15 минут до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входе ассистентов в ППЭ сотрудники, осуществляющие охрану правопорядка, и (или) сотрудники органов внутренних дел (полиции) совместно с </w:t>
      </w:r>
      <w:r>
        <w:rPr>
          <w:rFonts w:ascii="Tinos" w:hAnsi="Tinos" w:eastAsia="Tinos" w:cs="Tinos"/>
          <w:sz w:val="28"/>
          <w:szCs w:val="28"/>
          <w:highlight w:val="none"/>
          <w:lang w:val="ru-RU"/>
        </w:rPr>
        <w:t xml:space="preserve">организаторами осуществляют проверку документов, удостоверяющих личность, устанавливают соответствие личности представленным документам, осуществляют проверку наличия ассистентов в списках распределения в </w:t>
      </w:r>
      <w:r>
        <w:rPr>
          <w:rFonts w:ascii="Tinos" w:hAnsi="Tinos" w:eastAsia="Tinos" w:cs="Tinos"/>
          <w:sz w:val="28"/>
          <w:szCs w:val="28"/>
          <w:highlight w:val="none"/>
          <w:lang w:val="ru-RU"/>
        </w:rPr>
        <w:t xml:space="preserve">данный</w:t>
      </w:r>
      <w:r>
        <w:rPr>
          <w:rFonts w:ascii="Tinos" w:hAnsi="Tinos" w:eastAsia="Tinos" w:cs="Tinos"/>
          <w:sz w:val="28"/>
          <w:szCs w:val="28"/>
          <w:highlight w:val="none"/>
          <w:lang w:val="ru-RU"/>
        </w:rPr>
        <w:t xml:space="preserve"> ППЭ.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при входе ассистентов в аудиторию должен проверить документы, удостоверяющие их личность, а также указать ассистенту место в аудитории.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Участники экзамена могут взять с собой на отведенное м</w:t>
      </w:r>
      <w:r>
        <w:rPr>
          <w:rFonts w:ascii="Tinos" w:hAnsi="Tinos" w:eastAsia="Tinos" w:cs="Tinos"/>
          <w:sz w:val="28"/>
          <w:szCs w:val="28"/>
          <w:highlight w:val="none"/>
          <w:lang w:val="ru-RU"/>
        </w:rPr>
        <w:t xml:space="preserve">есто в аудитории медицинские приборы и препараты, показанные для оказания экстренной медицинской помощи, а также необходимое техническое оборудование для выполнения заданий (лупа или иное увеличительное устройство, специальные чертежные инструменты и др.).</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слепых и слабовидящих участников экзамена, использующих </w:t>
      </w:r>
      <w:r>
        <w:rPr>
          <w:rFonts w:ascii="Tinos" w:hAnsi="Tinos" w:eastAsia="Tinos" w:cs="Tinos"/>
          <w:b/>
          <w:sz w:val="28"/>
          <w:szCs w:val="28"/>
          <w:highlight w:val="none"/>
          <w:lang w:val="ru-RU"/>
        </w:rPr>
        <w:t xml:space="preserve">рельефноточечный</w:t>
      </w:r>
      <w:r>
        <w:rPr>
          <w:rFonts w:ascii="Tinos" w:hAnsi="Tinos" w:eastAsia="Tinos" w:cs="Tinos"/>
          <w:b/>
          <w:sz w:val="28"/>
          <w:szCs w:val="28"/>
          <w:highlight w:val="none"/>
          <w:lang w:val="ru-RU"/>
        </w:rPr>
        <w:t xml:space="preserve"> шрифт Брайля: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Ассистент (при наличии) и (или) технический специалист (в случае необходимости) настраивают параметры операционной системы и используемого оборудования (наушники или </w:t>
      </w:r>
      <w:r>
        <w:rPr>
          <w:rFonts w:ascii="Tinos" w:hAnsi="Tinos" w:eastAsia="Tinos" w:cs="Tinos"/>
          <w:sz w:val="28"/>
          <w:szCs w:val="28"/>
          <w:highlight w:val="none"/>
          <w:lang w:val="ru-RU"/>
        </w:rPr>
        <w:t xml:space="preserve">аудиогарнитура</w:t>
      </w:r>
      <w:r>
        <w:rPr>
          <w:rFonts w:ascii="Tinos" w:hAnsi="Tinos" w:eastAsia="Tinos" w:cs="Tinos"/>
          <w:sz w:val="28"/>
          <w:szCs w:val="28"/>
          <w:highlight w:val="none"/>
          <w:lang w:val="ru-RU"/>
        </w:rPr>
        <w:t xml:space="preserve">, громкость воспроизведения,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Ассистент (при наличии) и (или) технический специалист (в случае необходимости) настраивают параметры операционной системы и используемого оборудования (наушники или </w:t>
      </w:r>
      <w:r>
        <w:rPr>
          <w:rFonts w:ascii="Tinos" w:hAnsi="Tinos" w:eastAsia="Tinos" w:cs="Tinos"/>
          <w:sz w:val="28"/>
          <w:szCs w:val="28"/>
          <w:highlight w:val="none"/>
          <w:lang w:val="ru-RU"/>
        </w:rPr>
        <w:t xml:space="preserve">аудиогарнитура</w:t>
      </w:r>
      <w:r>
        <w:rPr>
          <w:rFonts w:ascii="Tinos" w:hAnsi="Tinos" w:eastAsia="Tinos" w:cs="Tinos"/>
          <w:sz w:val="28"/>
          <w:szCs w:val="28"/>
          <w:highlight w:val="none"/>
          <w:lang w:val="ru-RU"/>
        </w:rPr>
        <w:t xml:space="preserve">, громкость воспроизведения, контрастная цветовая схема, увел</w:t>
      </w:r>
      <w:r>
        <w:rPr>
          <w:rFonts w:ascii="Tinos" w:hAnsi="Tinos" w:eastAsia="Tinos" w:cs="Tinos"/>
          <w:sz w:val="28"/>
          <w:szCs w:val="28"/>
          <w:highlight w:val="none"/>
          <w:lang w:val="ru-RU"/>
        </w:rPr>
        <w:t xml:space="preserve">ичение 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участников экзамена с нарушениями опорно-двигательного аппарата: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Ассистент (при наличии) и (или) технический специалист (в случае необходимости) настраивают параметры операционной системы и используемого оборудования (специальные периферические устройства вв</w:t>
      </w:r>
      <w:r>
        <w:rPr>
          <w:rFonts w:ascii="Tinos" w:hAnsi="Tinos" w:eastAsia="Tinos" w:cs="Tinos"/>
          <w:sz w:val="28"/>
          <w:szCs w:val="28"/>
          <w:highlight w:val="none"/>
          <w:lang w:val="ru-RU"/>
        </w:rPr>
        <w:t xml:space="preserve">ода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Начало проведения экзамена в аудитории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Не позднее 09 часов 45 минут ответственный организатор в аудитории получает у руководителя ППЭ ЭМ.</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b/>
          <w:sz w:val="28"/>
          <w:szCs w:val="28"/>
          <w:highlight w:val="none"/>
        </w:rPr>
      </w:pPr>
      <w:r>
        <w:rPr>
          <w:rFonts w:ascii="Tinos" w:hAnsi="Tinos" w:eastAsia="Tinos" w:cs="Tinos"/>
          <w:b/>
          <w:sz w:val="28"/>
          <w:szCs w:val="28"/>
          <w:highlight w:val="none"/>
          <w:lang w:val="ru-RU"/>
        </w:rPr>
        <w:t xml:space="preserve">Для слепых и слабовидящих участников экзамена, использующих рельефно-точечный шрифт Брайля, </w:t>
      </w:r>
      <w:r>
        <w:rPr>
          <w:rFonts w:ascii="Tinos" w:hAnsi="Tinos" w:eastAsia="Tinos" w:cs="Tinos"/>
          <w:sz w:val="28"/>
          <w:szCs w:val="28"/>
          <w:highlight w:val="none"/>
          <w:lang w:val="ru-RU"/>
        </w:rPr>
        <w:t xml:space="preserve">печать бланков регистрации не выполняется, участникам выдаются ИК, подготовленные с применением технологии Брайль, включающие бумажный бланк регистрации, тексты к заданиям КИМ, напечатанные </w:t>
      </w:r>
      <w:r>
        <w:rPr>
          <w:rFonts w:ascii="Tinos" w:hAnsi="Tinos" w:eastAsia="Tinos" w:cs="Tinos"/>
          <w:sz w:val="28"/>
          <w:szCs w:val="28"/>
          <w:highlight w:val="none"/>
          <w:lang w:val="ru-RU"/>
        </w:rPr>
        <w:t xml:space="preserve">рельефно-точечным шрифтом Брайля, и черновик для записей рельефно-точечным шрифтом Брайля, представленный в виде тетради.</w:t>
      </w:r>
      <w:r>
        <w:rPr>
          <w:rFonts w:ascii="Tinos" w:hAnsi="Tinos" w:cs="Tinos"/>
          <w:b/>
          <w:sz w:val="28"/>
          <w:szCs w:val="28"/>
          <w:highlight w:val="none"/>
        </w:rPr>
      </w:r>
      <w:r>
        <w:rPr>
          <w:rFonts w:ascii="Tinos" w:hAnsi="Tinos" w:cs="Tinos"/>
          <w:b/>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Бланк регистрации заполняет ассистент или при его отсутствии – организатор в аудитории.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b/>
          <w:sz w:val="28"/>
          <w:szCs w:val="28"/>
          <w:highlight w:val="none"/>
        </w:rPr>
      </w:pPr>
      <w:r>
        <w:rPr>
          <w:rFonts w:ascii="Tinos" w:hAnsi="Tinos" w:eastAsia="Tinos" w:cs="Tinos"/>
          <w:b/>
          <w:sz w:val="28"/>
          <w:szCs w:val="28"/>
          <w:highlight w:val="none"/>
          <w:lang w:val="ru-RU"/>
        </w:rPr>
        <w:t xml:space="preserve">Для слабовидящих участников экзамена </w:t>
      </w:r>
      <w:r>
        <w:rPr>
          <w:rFonts w:ascii="Tinos" w:hAnsi="Tinos" w:eastAsia="Tinos" w:cs="Tinos"/>
          <w:sz w:val="28"/>
          <w:szCs w:val="28"/>
          <w:highlight w:val="none"/>
          <w:lang w:val="ru-RU"/>
        </w:rPr>
        <w:t xml:space="preserve">печать бланков регистрации стандартных размеров и масштабирование бланков регистрации осуществляется в аудитории </w:t>
      </w:r>
      <w:r>
        <w:rPr>
          <w:rFonts w:ascii="Tinos" w:hAnsi="Tinos" w:eastAsia="Tinos" w:cs="Tinos"/>
          <w:sz w:val="28"/>
          <w:szCs w:val="28"/>
          <w:highlight w:val="none"/>
          <w:lang w:val="ru-RU"/>
        </w:rPr>
        <w:t xml:space="preserve">проведения экзамена не ранее 10 часов </w:t>
      </w:r>
      <w:r>
        <w:rPr>
          <w:rFonts w:ascii="Tinos" w:hAnsi="Tinos" w:eastAsia="Tinos" w:cs="Tinos"/>
          <w:sz w:val="28"/>
          <w:szCs w:val="28"/>
          <w:highlight w:val="none"/>
          <w:lang w:val="ru-RU"/>
        </w:rPr>
        <w:t xml:space="preserve">00 </w:t>
      </w:r>
      <w:r>
        <w:rPr>
          <w:rFonts w:ascii="Tinos" w:hAnsi="Tinos" w:eastAsia="Tinos" w:cs="Tinos"/>
          <w:sz w:val="28"/>
          <w:szCs w:val="28"/>
          <w:highlight w:val="none"/>
          <w:lang w:val="ru-RU"/>
        </w:rPr>
        <w:t xml:space="preserve">минут</w:t>
      </w:r>
      <w:r>
        <w:rPr>
          <w:rFonts w:ascii="Tinos" w:hAnsi="Tinos" w:eastAsia="Tinos" w:cs="Tinos"/>
          <w:sz w:val="28"/>
          <w:szCs w:val="28"/>
          <w:highlight w:val="none"/>
          <w:lang w:val="ru-RU"/>
        </w:rPr>
        <w:t xml:space="preserve">. В случае нахождения в аудитории вместе со слабовидящими участниками экзамена других участников экзамена с ОВЗ, детей-инвалидов и инвалидов экзамен начинается для всех присутствующих в аудитории одновременно после увеличения бланков регистрации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слабовидящих.</w:t>
      </w:r>
      <w:r>
        <w:rPr>
          <w:rFonts w:ascii="Tinos" w:hAnsi="Tinos" w:cs="Tinos"/>
          <w:b/>
          <w:sz w:val="28"/>
          <w:szCs w:val="28"/>
          <w:highlight w:val="none"/>
        </w:rPr>
      </w:r>
      <w:r>
        <w:rPr>
          <w:rFonts w:ascii="Tinos" w:hAnsi="Tinos" w:cs="Tinos"/>
          <w:b/>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Глухим, позднооглохшим, </w:t>
      </w:r>
      <w:r>
        <w:rPr>
          <w:rFonts w:ascii="Tinos" w:hAnsi="Tinos" w:eastAsia="Tinos" w:cs="Tinos"/>
          <w:b/>
          <w:sz w:val="28"/>
          <w:szCs w:val="28"/>
          <w:highlight w:val="none"/>
          <w:lang w:val="ru-RU"/>
        </w:rPr>
        <w:t xml:space="preserve">кохлеарно</w:t>
      </w:r>
      <w:r>
        <w:rPr>
          <w:rFonts w:ascii="Tinos" w:hAnsi="Tinos" w:eastAsia="Tinos" w:cs="Tinos"/>
          <w:b/>
          <w:sz w:val="28"/>
          <w:szCs w:val="28"/>
          <w:highlight w:val="none"/>
          <w:lang w:val="ru-RU"/>
        </w:rPr>
        <w:t xml:space="preserve"> имплантированным и слабослышащим участникам экзамена выдаются правила по заполнению бланков регистрации в распечатанном виде.</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rPr>
        <w:t xml:space="preserve">Проведение</w:t>
      </w:r>
      <w:r>
        <w:rPr>
          <w:rFonts w:ascii="Tinos" w:hAnsi="Tinos" w:eastAsia="Tinos" w:cs="Tinos"/>
          <w:sz w:val="28"/>
          <w:szCs w:val="28"/>
          <w:highlight w:val="none"/>
        </w:rPr>
        <w:t xml:space="preserve"> </w:t>
      </w:r>
      <w:r>
        <w:rPr>
          <w:rFonts w:ascii="Tinos" w:hAnsi="Tinos" w:eastAsia="Tinos" w:cs="Tinos"/>
          <w:sz w:val="28"/>
          <w:szCs w:val="28"/>
          <w:highlight w:val="none"/>
        </w:rPr>
        <w:t xml:space="preserve">экзамена</w:t>
      </w:r>
      <w:r>
        <w:rPr>
          <w:rFonts w:ascii="Tinos" w:hAnsi="Tinos" w:eastAsia="Tinos" w:cs="Tinos"/>
          <w:sz w:val="28"/>
          <w:szCs w:val="28"/>
          <w:highlight w:val="none"/>
        </w:rPr>
        <w:t xml:space="preserve"> в </w:t>
      </w:r>
      <w:r>
        <w:rPr>
          <w:rFonts w:ascii="Tinos" w:hAnsi="Tinos" w:eastAsia="Tinos" w:cs="Tinos"/>
          <w:sz w:val="28"/>
          <w:szCs w:val="28"/>
          <w:highlight w:val="none"/>
        </w:rPr>
        <w:t xml:space="preserve">аудитории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Продолжительность экзамена для участн</w:t>
      </w:r>
      <w:r>
        <w:rPr>
          <w:rFonts w:ascii="Tinos" w:hAnsi="Tinos" w:eastAsia="Tinos" w:cs="Tinos"/>
          <w:sz w:val="28"/>
          <w:szCs w:val="28"/>
          <w:highlight w:val="none"/>
          <w:lang w:val="ru-RU"/>
        </w:rPr>
        <w:t xml:space="preserve">иков экзамена с ОВЗ, детей-инвалидов и инвалидов увеличивается на 1,5 часа. Если участник экзамена выполнил работу ранее установленного времени, то организаторы принимают ЭМ до окончания экзамена. При этом участники экзамена могут покинуть аудиторию и ППЭ.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Во время проведения экзамена для участников экзамена с ОВЗ, детей-инвалидов и инвалидов организуется питание и перерывы для проведения необходимых лечебных и профилактических мероприятий.</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выполнения экзаменационной работы КЕГЭ участники используют компьютеры, оснащенные специализированным программным обеспечением в соответствии с пунктом </w:t>
      </w:r>
      <w:r>
        <w:rPr>
          <w:rFonts w:ascii="Tinos" w:hAnsi="Tinos" w:eastAsia="Tinos" w:cs="Tinos"/>
          <w:sz w:val="28"/>
          <w:szCs w:val="28"/>
          <w:highlight w:val="none"/>
          <w:lang w:val="ru-RU"/>
        </w:rPr>
        <w:t xml:space="preserve">7</w:t>
      </w:r>
      <w:r>
        <w:rPr>
          <w:rFonts w:ascii="Tinos" w:hAnsi="Tinos" w:eastAsia="Tinos" w:cs="Tinos"/>
          <w:sz w:val="28"/>
          <w:szCs w:val="28"/>
          <w:highlight w:val="none"/>
          <w:lang w:val="ru-RU"/>
        </w:rPr>
        <w:t xml:space="preserve"> настоящей Инструкции.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Выполнение экзаменационной работы КЕГЭ предусматривает ввод ответов участника в специализированное </w:t>
      </w:r>
      <w:r>
        <w:rPr>
          <w:rFonts w:ascii="Tinos" w:hAnsi="Tinos" w:eastAsia="Tinos" w:cs="Tinos"/>
          <w:sz w:val="28"/>
          <w:szCs w:val="28"/>
          <w:highlight w:val="none"/>
          <w:lang w:val="ru-RU"/>
        </w:rPr>
        <w:t xml:space="preserve">ПО «Станция КЕГЭ»</w:t>
      </w:r>
      <w:r>
        <w:rPr>
          <w:rFonts w:ascii="Tinos" w:hAnsi="Tinos" w:eastAsia="Tinos" w:cs="Tinos"/>
          <w:sz w:val="28"/>
          <w:szCs w:val="28"/>
          <w:highlight w:val="none"/>
          <w:lang w:val="ru-RU"/>
        </w:rPr>
        <w:t xml:space="preserve">, перенос ответов участника экзамена ассистентом не требуется.</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rPr>
        <w:t xml:space="preserve">Завершение</w:t>
      </w:r>
      <w:r>
        <w:rPr>
          <w:rFonts w:ascii="Tinos" w:hAnsi="Tinos" w:eastAsia="Tinos" w:cs="Tinos"/>
          <w:sz w:val="28"/>
          <w:szCs w:val="28"/>
          <w:highlight w:val="none"/>
        </w:rPr>
        <w:t xml:space="preserve"> </w:t>
      </w:r>
      <w:r>
        <w:rPr>
          <w:rFonts w:ascii="Tinos" w:hAnsi="Tinos" w:eastAsia="Tinos" w:cs="Tinos"/>
          <w:sz w:val="28"/>
          <w:szCs w:val="28"/>
          <w:highlight w:val="none"/>
        </w:rPr>
        <w:t xml:space="preserve">экзамена</w:t>
      </w:r>
      <w:r>
        <w:rPr>
          <w:rFonts w:ascii="Tinos" w:hAnsi="Tinos" w:eastAsia="Tinos" w:cs="Tinos"/>
          <w:sz w:val="28"/>
          <w:szCs w:val="28"/>
          <w:highlight w:val="none"/>
        </w:rPr>
        <w:t xml:space="preserve"> в </w:t>
      </w:r>
      <w:r>
        <w:rPr>
          <w:rFonts w:ascii="Tinos" w:hAnsi="Tinos" w:eastAsia="Tinos" w:cs="Tinos"/>
          <w:sz w:val="28"/>
          <w:szCs w:val="28"/>
          <w:highlight w:val="none"/>
        </w:rPr>
        <w:t xml:space="preserve">аудитории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слепых и слабовидящих участников экзамена, использующих </w:t>
      </w:r>
      <w:r>
        <w:rPr>
          <w:rFonts w:ascii="Tinos" w:hAnsi="Tinos" w:eastAsia="Tinos" w:cs="Tinos"/>
          <w:b/>
          <w:sz w:val="28"/>
          <w:szCs w:val="28"/>
          <w:highlight w:val="none"/>
          <w:lang w:val="ru-RU"/>
        </w:rPr>
        <w:t xml:space="preserve">рельефноточечный</w:t>
      </w:r>
      <w:r>
        <w:rPr>
          <w:rFonts w:ascii="Tinos" w:hAnsi="Tinos" w:eastAsia="Tinos" w:cs="Tinos"/>
          <w:b/>
          <w:sz w:val="28"/>
          <w:szCs w:val="28"/>
          <w:highlight w:val="none"/>
          <w:lang w:val="ru-RU"/>
        </w:rPr>
        <w:t xml:space="preserve"> шрифт Брайля:</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highlight w:val="none"/>
        </w:rPr>
      </w:pPr>
      <w:r>
        <w:rPr>
          <w:rFonts w:ascii="Tinos" w:hAnsi="Tinos" w:eastAsia="Tinos" w:cs="Tinos"/>
          <w:sz w:val="28"/>
          <w:szCs w:val="28"/>
          <w:highlight w:val="none"/>
          <w:lang w:val="ru-RU"/>
        </w:rPr>
        <w:t xml:space="preserve">По истечении времени, отведенного на проведение экз</w:t>
      </w:r>
      <w:r>
        <w:rPr>
          <w:rFonts w:ascii="Tinos" w:hAnsi="Tinos" w:eastAsia="Tinos" w:cs="Tinos"/>
          <w:sz w:val="28"/>
          <w:szCs w:val="28"/>
          <w:highlight w:val="none"/>
          <w:lang w:val="ru-RU"/>
        </w:rPr>
        <w:t xml:space="preserve">амена, ответственный организатор должен объявить, что экзамен окончен. Ассистент помогает участнику завершить экзамен на станции КЕГЭ, в том числе досрочно. Затем ассистент сообщает участнику и</w:t>
      </w:r>
      <w:r>
        <w:rPr>
          <w:rFonts w:ascii="Tinos" w:hAnsi="Tinos" w:eastAsia="Tinos" w:cs="Tinos"/>
          <w:sz w:val="28"/>
          <w:szCs w:val="28"/>
          <w:highlight w:val="none"/>
          <w:lang w:val="ru-RU"/>
        </w:rPr>
        <w:t xml:space="preserve"> переносит в бланк регистрации контрольную сумму, отображенную </w:t>
      </w:r>
      <w:r>
        <w:rPr>
          <w:rFonts w:ascii="Tinos" w:hAnsi="Tinos" w:eastAsia="Tinos" w:cs="Tinos"/>
          <w:sz w:val="28"/>
          <w:szCs w:val="28"/>
          <w:highlight w:val="none"/>
          <w:lang w:val="ru-RU"/>
        </w:rPr>
        <w:t xml:space="preserve">на станции КЕГЭ, приглашает организатора, который убеждается </w:t>
      </w:r>
      <w:r>
        <w:rPr>
          <w:rFonts w:ascii="Tinos" w:hAnsi="Tinos" w:eastAsia="Tinos" w:cs="Tinos"/>
          <w:sz w:val="28"/>
          <w:szCs w:val="28"/>
          <w:highlight w:val="none"/>
          <w:lang w:val="ru-RU"/>
        </w:rPr>
        <w:t xml:space="preserve">что станция КЕГЭ </w:t>
      </w:r>
      <w:r>
        <w:rPr>
          <w:rFonts w:ascii="Tinos" w:hAnsi="Tinos" w:eastAsia="Tinos" w:cs="Tinos"/>
          <w:sz w:val="28"/>
          <w:szCs w:val="28"/>
          <w:highlight w:val="none"/>
          <w:lang w:val="ru-RU"/>
        </w:rPr>
        <w:t xml:space="preserve">находится на странице «Экзамен завершён», а также </w:t>
      </w:r>
      <w:r>
        <w:rPr>
          <w:rFonts w:ascii="Tinos" w:hAnsi="Tinos" w:eastAsia="Tinos" w:cs="Tinos"/>
          <w:sz w:val="28"/>
          <w:szCs w:val="28"/>
          <w:highlight w:val="none"/>
          <w:lang w:val="ru-RU"/>
        </w:rPr>
        <w:t xml:space="preserve">убе</w:t>
      </w:r>
      <w:r>
        <w:rPr>
          <w:rFonts w:ascii="Tinos" w:hAnsi="Tinos" w:eastAsia="Tinos" w:cs="Tinos"/>
          <w:sz w:val="28"/>
          <w:szCs w:val="28"/>
          <w:highlight w:val="none"/>
          <w:lang w:val="ru-RU"/>
        </w:rPr>
        <w:t xml:space="preserve">ждается </w:t>
      </w:r>
      <w:r>
        <w:rPr>
          <w:rFonts w:ascii="Tinos" w:hAnsi="Tinos" w:eastAsia="Tinos" w:cs="Tinos"/>
          <w:sz w:val="28"/>
          <w:szCs w:val="28"/>
          <w:highlight w:val="none"/>
          <w:lang w:val="ru-RU"/>
        </w:rPr>
        <w:t xml:space="preserve">в правильности переноса контрольной суммы и удостоверяет данное действие своей подписью на бланке регистрации участника в специально отведённом поле. Заполненный бланк регистраци</w:t>
      </w:r>
      <w:r>
        <w:rPr>
          <w:rFonts w:ascii="Tinos" w:hAnsi="Tinos" w:eastAsia="Tinos" w:cs="Tinos"/>
          <w:sz w:val="28"/>
          <w:szCs w:val="28"/>
          <w:highlight w:val="none"/>
          <w:lang w:val="ru-RU"/>
        </w:rPr>
        <w:t xml:space="preserve">и, текст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КИМ</w:t>
      </w:r>
      <w:r>
        <w:rPr>
          <w:rFonts w:ascii="Tinos" w:hAnsi="Tinos" w:eastAsia="Tinos" w:cs="Tinos"/>
          <w:sz w:val="28"/>
          <w:szCs w:val="28"/>
          <w:highlight w:val="none"/>
          <w:lang w:val="ru-RU"/>
        </w:rPr>
        <w:t xml:space="preserve">, черновик для записей рельефно-точечным шрифтом Брайля, представленный в виде тетради, и черновики (по технологии Брайля) кладет на край рабочего стола.</w:t>
      </w:r>
      <w:r>
        <w:rPr>
          <w:rFonts w:ascii="Tinos" w:hAnsi="Tinos" w:eastAsia="Tinos" w:cs="Tinos"/>
          <w:sz w:val="28"/>
          <w:szCs w:val="28"/>
          <w:highlight w:val="none"/>
          <w:lang w:val="ru-RU"/>
        </w:rPr>
      </w:r>
      <w:r>
        <w:rPr>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Организаторы в аудитории самостоятельно собирают у участников экзамена ЭМ (бланки регистрации, черновики (по технологии Брайля), текст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КИМ</w:t>
      </w:r>
      <w:r>
        <w:rPr>
          <w:rFonts w:ascii="Tinos" w:hAnsi="Tinos" w:eastAsia="Tinos" w:cs="Tinos"/>
          <w:sz w:val="28"/>
          <w:szCs w:val="28"/>
          <w:highlight w:val="none"/>
          <w:lang w:val="ru-RU"/>
        </w:rPr>
        <w:t xml:space="preserve">, черновик для записей рельефно-точечным шрифтом Брайля, представленный в виде </w:t>
      </w:r>
      <w:r>
        <w:rPr>
          <w:rFonts w:ascii="Tinos" w:hAnsi="Tinos" w:eastAsia="Tinos" w:cs="Tinos"/>
          <w:sz w:val="28"/>
          <w:szCs w:val="28"/>
          <w:highlight w:val="none"/>
          <w:lang w:val="ru-RU"/>
        </w:rPr>
        <w:t xml:space="preserve">тетради), фиксируют на конверте количество сданных участником экзамена листов бумаги для черновиков, бланков, ставят свою подпись.</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итогам сбора ЭМ у участников экзамена организатор формирует и запечатывает в пакеты материалы по следующим категориям: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и черновики для записей рельефно-точечным шрифтом Брайля, представленные в виде тетради;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текст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Сканирование бланков регистрации в аудитории не </w:t>
      </w:r>
      <w:r>
        <w:rPr>
          <w:rFonts w:ascii="Tinos" w:hAnsi="Tinos" w:eastAsia="Tinos" w:cs="Tinos"/>
          <w:sz w:val="28"/>
          <w:szCs w:val="28"/>
          <w:highlight w:val="none"/>
          <w:lang w:val="ru-RU"/>
        </w:rPr>
        <w:t xml:space="preserve">проводится</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истечении времени, отведенного на проведение экзамена, ответственный организатор должен объявить, что экзамен окончен, необходимо завершить экзамен на станции КЕГЭ и перенести контрольную сумму в бланк регистрации.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использования масштабированных до формата А3 бланков регистрации:</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Организаторы в аудитории самостоятельно собирают у участников экзамена черновик участника КЕГЭ, черновики (при наличии) и запечатывают их в конверты. Бланки регистрации остаются на рабочих местах участников экзамена.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присутствии общественных наблюдателей (</w:t>
      </w:r>
      <w:r>
        <w:rPr>
          <w:rFonts w:ascii="Tinos" w:hAnsi="Tinos" w:eastAsia="Tinos" w:cs="Tinos"/>
          <w:sz w:val="28"/>
          <w:szCs w:val="28"/>
          <w:highlight w:val="none"/>
          <w:lang w:val="ru-RU"/>
        </w:rPr>
        <w:t xml:space="preserve">при наличии) и члена ГЭК ассистенты переносят информацию, включая контрольную сумму, с масштабированных до формата А3 бланков регистрации на стандартные бланки регистрации, приглашают организатора, который убеждается в правильности переноса контрольной сум</w:t>
      </w:r>
      <w:r>
        <w:rPr>
          <w:rFonts w:ascii="Tinos" w:hAnsi="Tinos" w:eastAsia="Tinos" w:cs="Tinos"/>
          <w:sz w:val="28"/>
          <w:szCs w:val="28"/>
          <w:highlight w:val="none"/>
          <w:lang w:val="ru-RU"/>
        </w:rPr>
        <w:t xml:space="preserve">мы и удостоверяет данное действие своей подписью на бланке регистрации участника в специально отведённом поле. При переносе информации на бланк регистрации стандартного размера в поле «Подпись участника» ассистент пишет «Копия верна» и ставит свою подпись.</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окончании переноса информации слабовидящих участников экзамена на бланки регистрации стандартного размера организатор производит их сканирование и после экспорта пакета со станции организатора запечатывает бланки регистрации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стандартные ВДП. Масштабированные бланки регистрации запечатываются в пакеты формата А3.</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560" w:leader="none"/>
        </w:tabs>
        <w:rPr>
          <w:rFonts w:ascii="Tinos" w:hAnsi="Tinos" w:cs="Tinos"/>
          <w:sz w:val="28"/>
          <w:szCs w:val="28"/>
          <w:highlight w:val="none"/>
        </w:rPr>
      </w:pPr>
      <w:r>
        <w:rPr>
          <w:rFonts w:ascii="Tinos" w:hAnsi="Tinos" w:eastAsia="Tinos" w:cs="Tinos"/>
          <w:sz w:val="28"/>
          <w:szCs w:val="28"/>
          <w:highlight w:val="none"/>
          <w:lang w:val="ru-RU"/>
        </w:rPr>
        <w:t xml:space="preserve">Особенности завершающего этапа проведения экзамена в ППЭ для отдельных категорий участников</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в присутствии члена ГЭК обязан по окончании экзамена получить от всех ответственных организаторов по аудиториям и пересчитать:</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Из аудитории для слепых и слабовидящих участников экзамена, использующих шрифт Брайля: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 регистрации; тексты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(по технологии Брайля) и черновики для записей рельефно-точечным шрифтом Брайля, представленные в виде тетради;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прочие выданные на аудиторию материалы.</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highlight w:val="none"/>
        </w:rPr>
      </w:pPr>
      <w:r>
        <w:rPr>
          <w:rFonts w:ascii="Tinos" w:hAnsi="Tinos" w:cs="Tinos"/>
          <w:sz w:val="28"/>
          <w:szCs w:val="28"/>
          <w:highlight w:val="cyan"/>
          <w:lang w:val="ru-RU"/>
        </w:rPr>
      </w:r>
      <w:r>
        <w:rPr>
          <w:rFonts w:ascii="Tinos" w:hAnsi="Tinos" w:eastAsia="Tinos" w:cs="Tinos"/>
          <w:sz w:val="28"/>
          <w:szCs w:val="28"/>
          <w:highlight w:val="none"/>
          <w:lang w:val="ru-RU"/>
        </w:rPr>
        <w:t xml:space="preserve">Организ</w:t>
      </w:r>
      <w:r>
        <w:rPr>
          <w:rFonts w:ascii="Tinos" w:hAnsi="Tinos" w:eastAsia="Tinos" w:cs="Tinos"/>
          <w:sz w:val="28"/>
          <w:szCs w:val="28"/>
          <w:highlight w:val="none"/>
          <w:lang w:val="ru-RU"/>
        </w:rPr>
        <w:t xml:space="preserve">уется сканирование бланков регистрации на станции Штаб</w:t>
      </w:r>
      <w:r>
        <w:rPr>
          <w:rFonts w:ascii="Tinos" w:hAnsi="Tinos" w:eastAsia="Tinos" w:cs="Tinos"/>
          <w:sz w:val="28"/>
          <w:szCs w:val="28"/>
          <w:highlight w:val="none"/>
          <w:lang w:val="ru-RU"/>
        </w:rPr>
        <w:t xml:space="preserve">а ППЭ</w:t>
      </w:r>
      <w:r>
        <w:rPr>
          <w:rFonts w:ascii="Tinos" w:hAnsi="Tinos" w:eastAsia="Tinos" w:cs="Tinos"/>
          <w:sz w:val="28"/>
          <w:szCs w:val="28"/>
          <w:highlight w:val="none"/>
          <w:lang w:val="ru-RU"/>
        </w:rPr>
        <w:t xml:space="preserve"> в Штабе ППЭ</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в с</w:t>
      </w:r>
      <w:r>
        <w:rPr>
          <w:rFonts w:ascii="Tinos" w:hAnsi="Tinos" w:eastAsia="Tinos" w:cs="Tinos"/>
          <w:sz w:val="28"/>
          <w:szCs w:val="28"/>
          <w:highlight w:val="none"/>
          <w:lang w:val="ru-RU"/>
        </w:rPr>
        <w:t xml:space="preserve">лучае если в ППЭ не проводилась печать ЭМ ни в одной аудитории, </w:t>
      </w:r>
      <w:r>
        <w:rPr>
          <w:rFonts w:ascii="Tinos" w:hAnsi="Tinos" w:cs="Tinos"/>
          <w:strike w:val="0"/>
          <w:sz w:val="28"/>
          <w:szCs w:val="28"/>
          <w:highlight w:val="none"/>
          <w:lang w:val="ru-RU"/>
        </w:rPr>
        <w:t xml:space="preserve">материалы </w:t>
      </w:r>
      <w:r>
        <w:rPr>
          <w:rFonts w:ascii="Tinos" w:hAnsi="Tinos" w:cs="Tinos"/>
          <w:strike w:val="0"/>
          <w:sz w:val="28"/>
          <w:szCs w:val="28"/>
          <w:highlight w:val="none"/>
          <w:lang w:val="ru-RU"/>
        </w:rPr>
        <w:t xml:space="preserve">экзамена либо доставляются в РЦОИ членом ГЭК в день проведения экзамена и</w:t>
      </w:r>
      <w:r>
        <w:rPr>
          <w:rFonts w:ascii="Tinos" w:hAnsi="Tinos" w:cs="Tinos"/>
          <w:strike w:val="0"/>
          <w:sz w:val="28"/>
          <w:szCs w:val="28"/>
          <w:highlight w:val="none"/>
          <w:lang w:val="ru-RU"/>
        </w:rPr>
        <w:t xml:space="preserve"> </w:t>
      </w:r>
      <w:r>
        <w:rPr>
          <w:rFonts w:ascii="Tinos" w:hAnsi="Tinos" w:cs="Tinos"/>
          <w:strike w:val="0"/>
          <w:sz w:val="28"/>
          <w:szCs w:val="28"/>
          <w:highlight w:val="none"/>
          <w:lang w:val="ru-RU"/>
        </w:rPr>
        <w:t xml:space="preserve">сканируются (загружаются – для файлов с ответами КЕГЭ) до 23 часов 59 минут дня проведения</w:t>
      </w:r>
      <w:r>
        <w:rPr>
          <w:rFonts w:ascii="Tinos" w:hAnsi="Tinos" w:cs="Tinos"/>
          <w:strike w:val="0"/>
          <w:sz w:val="28"/>
          <w:szCs w:val="28"/>
          <w:highlight w:val="none"/>
          <w:lang w:val="ru-RU"/>
        </w:rPr>
        <w:t xml:space="preserve"> </w:t>
      </w:r>
      <w:r>
        <w:rPr>
          <w:rFonts w:ascii="Tinos" w:hAnsi="Tinos" w:cs="Tinos"/>
          <w:strike w:val="0"/>
          <w:sz w:val="28"/>
          <w:szCs w:val="28"/>
          <w:highlight w:val="none"/>
          <w:lang w:val="ru-RU"/>
        </w:rPr>
        <w:t xml:space="preserve">экзамена,</w:t>
      </w:r>
      <w:r>
        <w:rPr>
          <w:rFonts w:ascii="Tinos" w:hAnsi="Tinos" w:cs="Tinos"/>
          <w:strike w:val="0"/>
          <w:sz w:val="28"/>
          <w:szCs w:val="28"/>
          <w:highlight w:val="none"/>
          <w:lang w:val="ru-RU"/>
        </w:rPr>
        <w:t xml:space="preserve"> </w:t>
      </w:r>
      <w:r>
        <w:rPr>
          <w:rFonts w:ascii="Tinos" w:hAnsi="Tinos" w:cs="Tinos"/>
          <w:strike w:val="0"/>
          <w:sz w:val="28"/>
          <w:szCs w:val="28"/>
          <w:highlight w:val="none"/>
          <w:lang w:val="ru-RU"/>
        </w:rPr>
        <w:t xml:space="preserve">л</w:t>
      </w:r>
      <w:r>
        <w:rPr>
          <w:rFonts w:ascii="Tinos" w:hAnsi="Tinos" w:cs="Tinos"/>
          <w:strike w:val="0"/>
          <w:sz w:val="28"/>
          <w:szCs w:val="28"/>
          <w:highlight w:val="none"/>
          <w:lang w:val="ru-RU"/>
        </w:rPr>
        <w:t xml:space="preserve">и</w:t>
      </w:r>
      <w:r>
        <w:rPr>
          <w:rFonts w:ascii="Tinos" w:hAnsi="Tinos" w:cs="Tinos"/>
          <w:strike w:val="0"/>
          <w:sz w:val="28"/>
          <w:szCs w:val="28"/>
          <w:highlight w:val="none"/>
          <w:lang w:val="ru-RU"/>
        </w:rPr>
        <w:t xml:space="preserve">бо </w:t>
      </w:r>
      <w:r>
        <w:rPr>
          <w:rFonts w:ascii="Tinos" w:hAnsi="Tinos" w:cs="Tinos"/>
          <w:sz w:val="28"/>
          <w:szCs w:val="28"/>
          <w:highlight w:val="none"/>
          <w:lang w:val="ru-RU"/>
        </w:rPr>
        <w:t xml:space="preserve">производится сканирование бланков регистрации с последующей</w:t>
      </w:r>
      <w:r>
        <w:rPr>
          <w:rFonts w:ascii="Tinos" w:hAnsi="Tinos" w:cs="Tinos"/>
          <w:sz w:val="28"/>
          <w:szCs w:val="28"/>
          <w:highlight w:val="none"/>
          <w:lang w:val="ru-RU"/>
        </w:rPr>
        <w:t xml:space="preserve"> </w:t>
      </w:r>
      <w:r>
        <w:rPr>
          <w:rFonts w:ascii="Tinos" w:hAnsi="Tinos" w:cs="Tinos"/>
          <w:sz w:val="28"/>
          <w:szCs w:val="28"/>
          <w:highlight w:val="none"/>
          <w:lang w:val="ru-RU"/>
        </w:rPr>
        <w:t xml:space="preserve">передачей пакетов с файлами с ответами КЕГЭ участников экзамена и с бланками</w:t>
      </w:r>
      <w:r>
        <w:rPr>
          <w:rFonts w:ascii="Tinos" w:hAnsi="Tinos" w:cs="Tinos"/>
          <w:sz w:val="28"/>
          <w:szCs w:val="28"/>
          <w:highlight w:val="none"/>
          <w:lang w:val="ru-RU"/>
        </w:rPr>
        <w:t xml:space="preserve"> </w:t>
      </w:r>
      <w:r>
        <w:rPr>
          <w:rFonts w:ascii="Tinos" w:hAnsi="Tinos" w:cs="Tinos"/>
          <w:sz w:val="28"/>
          <w:szCs w:val="28"/>
          <w:highlight w:val="none"/>
          <w:lang w:val="ru-RU"/>
        </w:rPr>
        <w:t xml:space="preserve">регистрации. Для обеспечения возможности сканирования бланков регистрации такой</w:t>
      </w:r>
      <w:r>
        <w:rPr>
          <w:rFonts w:ascii="Tinos" w:hAnsi="Tinos" w:cs="Tinos"/>
          <w:sz w:val="28"/>
          <w:szCs w:val="28"/>
          <w:highlight w:val="none"/>
          <w:lang w:val="ru-RU"/>
        </w:rPr>
        <w:t xml:space="preserve"> </w:t>
      </w:r>
      <w:r>
        <w:rPr>
          <w:rFonts w:ascii="Tinos" w:hAnsi="Tinos" w:cs="Tinos"/>
          <w:sz w:val="28"/>
          <w:szCs w:val="28"/>
          <w:highlight w:val="none"/>
          <w:lang w:val="ru-RU"/>
        </w:rPr>
        <w:t xml:space="preserve">ППЭ в РИС должен быть помечен как ППЭ, использующий технологии печати и</w:t>
      </w:r>
      <w:r>
        <w:rPr>
          <w:rFonts w:ascii="Tinos" w:hAnsi="Tinos" w:cs="Tinos"/>
          <w:sz w:val="28"/>
          <w:szCs w:val="28"/>
          <w:highlight w:val="none"/>
          <w:lang w:val="ru-RU"/>
        </w:rPr>
        <w:t xml:space="preserve"> </w:t>
      </w:r>
      <w:r>
        <w:rPr>
          <w:rFonts w:ascii="Tinos" w:hAnsi="Tinos" w:cs="Tinos"/>
          <w:sz w:val="28"/>
          <w:szCs w:val="28"/>
          <w:highlight w:val="none"/>
          <w:lang w:val="ru-RU"/>
        </w:rPr>
        <w:t xml:space="preserve">сканирования, но все аудитории должны быть помечены как аудитории без печати).</w:t>
      </w:r>
      <w:r>
        <w:rPr>
          <w:rFonts w:ascii="Tinos" w:hAnsi="Tinos" w:cs="Tinos"/>
          <w:sz w:val="28"/>
          <w:szCs w:val="28"/>
          <w:highlight w:val="none"/>
          <w:lang w:val="ru-RU"/>
        </w:rPr>
      </w:r>
      <w:r>
        <w:rPr>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Из аудитории 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ВДП с бланками регистрации (масштабированными – в конверте формата А3, стандартными –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стандартном ВДП);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в конверты черновики участника КЕГЭ и черновики (при наличии);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прочие выданные на аудиторию материалы.</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проведения экзамена для участников экзамена с ОВЗ, участников экзамена – детей-инвалидов и инвалидов в отдельной аудитории ППЭ п</w:t>
      </w:r>
      <w:r>
        <w:rPr>
          <w:rFonts w:ascii="Tinos" w:hAnsi="Tinos" w:eastAsia="Tinos" w:cs="Tinos"/>
          <w:sz w:val="28"/>
          <w:szCs w:val="28"/>
          <w:highlight w:val="none"/>
          <w:lang w:val="ru-RU"/>
        </w:rPr>
        <w:t xml:space="preserve">о окончании экзамена руководитель ППЭ передает члену ГЭК ЭМ из аудитории для участников экзамена с ОВЗ, участников экзамена – детей-инвалидов и инвалидов (отдельно от материалов, сданных из ППЭ по окончании экзамена для основной части участников экзамена).</w:t>
      </w:r>
      <w:r>
        <w:rPr>
          <w:rFonts w:ascii="Tinos" w:hAnsi="Tinos" w:eastAsia="Tinos" w:cs="Tinos"/>
          <w:sz w:val="28"/>
          <w:szCs w:val="28"/>
          <w:highlight w:val="none"/>
          <w:lang w:val="ru-RU"/>
        </w:rPr>
        <w:t xml:space="preserve"> При проведении в ППЭ сканирования бланков регистрации (в аудиториях) и форм ППЭ (в Штабе ППЭ) данные материалы из специальной аудитории могут быть отсканированы и переданы в РЦОИ отдельным пакетом. Хранение и передача ЭМ осуществляется в общем порядке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0" w:firstLine="0"/>
        <w:jc w:val="left"/>
        <w:spacing w:before="0" w:beforeAutospacing="0" w:after="0" w:afterAutospacing="0" w:line="240" w:lineRule="auto"/>
        <w:rPr>
          <w:rFonts w:ascii="Tinos" w:hAnsi="Tinos" w:cs="Tinos"/>
          <w:i/>
          <w:color w:val="4f81bd"/>
          <w:highlight w:val="cyan"/>
        </w:rPr>
      </w:pPr>
      <w:r>
        <w:rPr>
          <w:rFonts w:ascii="Tinos" w:hAnsi="Tinos" w:eastAsia="Tinos" w:cs="Tinos"/>
          <w:i/>
          <w:color w:val="4f81bd"/>
          <w:highlight w:val="cyan"/>
          <w:lang w:val="ru-RU"/>
        </w:rPr>
      </w:r>
      <w:r>
        <w:rPr>
          <w:rFonts w:ascii="Tinos" w:hAnsi="Tinos" w:cs="Tinos"/>
          <w:i/>
          <w:color w:val="4f81bd"/>
          <w:highlight w:val="cyan"/>
        </w:rPr>
      </w:r>
      <w:r>
        <w:rPr>
          <w:rFonts w:ascii="Tinos" w:hAnsi="Tinos" w:cs="Tinos"/>
          <w:i/>
          <w:color w:val="4f81bd"/>
          <w:highlight w:val="cyan"/>
        </w:rPr>
      </w:r>
    </w:p>
    <w:p>
      <w:pPr>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Памятки для лиц, привлекаемых к проведению </w:t>
      </w:r>
      <w:r>
        <w:rPr>
          <w:rFonts w:ascii="Tinos" w:hAnsi="Tinos" w:eastAsia="Tinos" w:cs="Tinos"/>
          <w:sz w:val="28"/>
          <w:szCs w:val="28"/>
          <w:highlight w:val="none"/>
        </w:rPr>
        <w:t xml:space="preserve">ЕГЭ в ППЭ </w:t>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Памятка для технического специалиста при проведении КЕГЭ для лиц с ОВЗ, детей-инвалидов и инвалидов.</w:t>
      </w:r>
      <w:r>
        <w:rPr>
          <w:rFonts w:ascii="Tinos" w:hAnsi="Tinos" w:cs="Tinos"/>
          <w:b/>
          <w:sz w:val="28"/>
          <w:szCs w:val="28"/>
          <w:highlight w:val="none"/>
        </w:rPr>
      </w:r>
      <w:r>
        <w:rPr>
          <w:rFonts w:ascii="Tinos" w:hAnsi="Tinos" w:cs="Tinos"/>
          <w:b/>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Технический специалист проводит техническую подготовку, контроль технической готовности ППЭ, а также проведение и завершение экзамена в соответствии с инструкцией для технического специалиста ППЭ с учетом особенностей, 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5 календарных дней</w:t>
      </w:r>
      <w:r>
        <w:rPr>
          <w:rFonts w:ascii="Tinos" w:hAnsi="Tinos" w:eastAsia="Tinos" w:cs="Tinos"/>
          <w:sz w:val="28"/>
          <w:szCs w:val="28"/>
          <w:highlight w:val="none"/>
          <w:lang w:val="ru-RU"/>
        </w:rPr>
        <w:t xml:space="preserve"> до проведения экзамена технический специалист должен получить: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информацию из РЦОИ о номерах задействованных аудиторий и количестве станций КЕГЭ.</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2 рабочих дня</w:t>
      </w:r>
      <w:r>
        <w:rPr>
          <w:rFonts w:ascii="Tinos" w:hAnsi="Tinos" w:eastAsia="Tinos" w:cs="Tinos"/>
          <w:sz w:val="28"/>
          <w:szCs w:val="28"/>
          <w:highlight w:val="none"/>
          <w:lang w:val="ru-RU"/>
        </w:rPr>
        <w:t xml:space="preserve"> до проведения экзамена технический специалист должен получить: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от руководителя ППЭ информацию о количестве участников экзамена с ОВЗ, детей-инвалидов и инвалидов в ППЭ и о необходимости организации проведения экзаменов в условиях, учитывающих состояние их здоровья, особенности психофизи</w:t>
      </w:r>
      <w:r>
        <w:rPr>
          <w:rFonts w:ascii="Tinos" w:hAnsi="Tinos" w:eastAsia="Tinos" w:cs="Tinos"/>
          <w:sz w:val="28"/>
          <w:szCs w:val="28"/>
          <w:highlight w:val="none"/>
          <w:lang w:val="ru-RU"/>
        </w:rPr>
        <w:t xml:space="preserve">ческого развития. На основании полученных сведений технический специалист обеспечивает установку и настройку дополнительного специализированного программного обеспечения и оборудования с учетом индивидуальных возможностей и потребностей участников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3" w:firstLine="701"/>
        <w:spacing w:before="0" w:beforeAutospacing="0" w:after="0" w:afterAutospacing="0" w:line="240" w:lineRule="auto"/>
        <w:rPr>
          <w:rFonts w:ascii="Tinos" w:hAnsi="Tinos" w:cs="Tinos"/>
          <w:b/>
          <w:sz w:val="28"/>
          <w:szCs w:val="28"/>
          <w:highlight w:val="none"/>
        </w:rPr>
      </w:pPr>
      <w:r>
        <w:rPr>
          <w:rFonts w:ascii="Tinos" w:hAnsi="Tinos" w:eastAsia="Tinos" w:cs="Tinos"/>
          <w:b/>
          <w:sz w:val="28"/>
          <w:szCs w:val="28"/>
          <w:highlight w:val="none"/>
          <w:lang w:val="ru-RU"/>
        </w:rPr>
        <w:t xml:space="preserve">Для слепых и слабовидящих участников экзамена, использующих рельефно-точечный шрифт Брайля:</w:t>
      </w:r>
      <w:r>
        <w:rPr>
          <w:rFonts w:ascii="Tinos" w:hAnsi="Tinos" w:cs="Tinos"/>
          <w:b/>
          <w:sz w:val="28"/>
          <w:szCs w:val="28"/>
          <w:highlight w:val="none"/>
        </w:rPr>
      </w:r>
      <w:r>
        <w:rPr>
          <w:rFonts w:ascii="Tinos" w:hAnsi="Tinos" w:cs="Tinos"/>
          <w:b/>
          <w:sz w:val="28"/>
          <w:szCs w:val="28"/>
          <w:highlight w:val="none"/>
        </w:rPr>
      </w:r>
    </w:p>
    <w:p>
      <w:pPr>
        <w:ind w:right="3" w:firstLine="70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каждого участника указанной категории в ППЭ доставляются следующие ЭМ: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бумажный бланк регистрации (в день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тексты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 оформленные рельефно-точечным шрифтом Брайля (в день экзамена</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для записей рельефно-точечным шрифтом Брайля, </w:t>
      </w:r>
      <w:r>
        <w:rPr>
          <w:rFonts w:ascii="Tinos" w:hAnsi="Tinos" w:eastAsia="Tinos" w:cs="Tinos"/>
          <w:sz w:val="28"/>
          <w:szCs w:val="28"/>
          <w:highlight w:val="none"/>
          <w:lang w:val="ru-RU"/>
        </w:rPr>
        <w:t xml:space="preserve">представленный в виде тетради (в день экзамена).</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технической подготовки ППЭ (не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5 календарных дней до проведения экзамена) технический специалист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из РЦОИ дополнительные дистрибутивы: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версия для участников с ОВЗ (расширенные настройки);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техническую подготовку станций КЕГЭ для слепых и слабовидящих участников экзамена, использующих рельефно-точечный шрифт Брайля:</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соответствие технических характеристик компьютеров (ноутбуков), предназначенных для установки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КЕГЭ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предъявляемым требованиям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и настроить специализированное оборудование в соответствии с рекомендациями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наушники (</w:t>
      </w:r>
      <w:r>
        <w:rPr>
          <w:rFonts w:ascii="Tinos" w:hAnsi="Tinos" w:eastAsia="Tinos" w:cs="Tinos"/>
          <w:sz w:val="28"/>
          <w:szCs w:val="28"/>
          <w:highlight w:val="none"/>
          <w:lang w:val="ru-RU"/>
        </w:rPr>
        <w:t xml:space="preserve">аудиогарнитуру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портативный тактильный дисплей Брайля типа </w:t>
      </w:r>
      <w:r>
        <w:rPr>
          <w:rFonts w:ascii="Tinos" w:hAnsi="Tinos" w:eastAsia="Tinos" w:cs="Tinos"/>
          <w:sz w:val="28"/>
          <w:szCs w:val="28"/>
          <w:highlight w:val="none"/>
          <w:lang w:val="ru-RU"/>
        </w:rPr>
        <w:t xml:space="preserve">Focus</w:t>
      </w:r>
      <w:r>
        <w:rPr>
          <w:rFonts w:ascii="Tinos" w:hAnsi="Tinos" w:eastAsia="Tinos" w:cs="Tinos"/>
          <w:sz w:val="28"/>
          <w:szCs w:val="28"/>
          <w:highlight w:val="none"/>
          <w:lang w:val="ru-RU"/>
        </w:rPr>
        <w:t xml:space="preserve"> 40 </w:t>
      </w:r>
      <w:r>
        <w:rPr>
          <w:rFonts w:ascii="Tinos" w:hAnsi="Tinos" w:eastAsia="Tinos" w:cs="Tinos"/>
          <w:sz w:val="28"/>
          <w:szCs w:val="28"/>
          <w:highlight w:val="none"/>
          <w:lang w:val="ru-RU"/>
        </w:rPr>
        <w:t xml:space="preserve">Blue</w:t>
      </w:r>
      <w:r>
        <w:rPr>
          <w:rFonts w:ascii="Tinos" w:hAnsi="Tinos" w:eastAsia="Tinos" w:cs="Tinos"/>
          <w:sz w:val="28"/>
          <w:szCs w:val="28"/>
          <w:highlight w:val="none"/>
          <w:lang w:val="ru-RU"/>
        </w:rPr>
        <w:t xml:space="preserve"> или его аналог;</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установить и настроить программу экранного доступа или программу экранного доступа и увеличения;</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установить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версия для участников с ОВЗ (расширенные настройки) на все компьютеры (ноутбуки), предназначенные для использования при проведении экзаменов для данной категории участников, включая резервные;</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 проведении проверки технического КИМ дополнительно проверить взаимодействие установленной программы экранного доступа (программы экранного доступа и увеличения)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 в части озвучивания элементов интерфейса участника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Станция организатора в аудиторию ППЭ, в которой проводится экзамен только для слепых и слабовидящих участников экзамена, использующих рельефно-точечный шрифт Брайля, не устанавливается, печать бланков </w:t>
      </w:r>
      <w:r>
        <w:rPr>
          <w:rFonts w:ascii="Tinos" w:hAnsi="Tinos" w:eastAsia="Tinos" w:cs="Tinos"/>
          <w:sz w:val="28"/>
          <w:szCs w:val="28"/>
          <w:highlight w:val="none"/>
          <w:lang w:val="ru-RU"/>
        </w:rPr>
        <w:t xml:space="preserve">регистрации</w:t>
      </w:r>
      <w:r>
        <w:rPr>
          <w:rFonts w:ascii="Tinos" w:hAnsi="Tinos" w:eastAsia="Tinos" w:cs="Tinos"/>
          <w:sz w:val="28"/>
          <w:szCs w:val="28"/>
          <w:highlight w:val="none"/>
          <w:lang w:val="ru-RU"/>
        </w:rPr>
        <w:t xml:space="preserve"> и их сканирование по окончании экзамена не выполняются.</w:t>
      </w:r>
      <w:r>
        <w:rPr>
          <w:rFonts w:ascii="Tinos" w:hAnsi="Tinos" w:cs="Tinos"/>
          <w:sz w:val="28"/>
          <w:szCs w:val="28"/>
          <w:highlight w:val="none"/>
        </w:rPr>
      </w:r>
      <w:r>
        <w:rPr>
          <w:rFonts w:ascii="Tinos" w:hAnsi="Tinos" w:cs="Tinos"/>
          <w:sz w:val="28"/>
          <w:szCs w:val="28"/>
          <w:highlight w:val="none"/>
        </w:rPr>
      </w:r>
    </w:p>
    <w:p>
      <w:pPr>
        <w:ind w:right="3" w:firstLine="701"/>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(не ранее чем за 2 рабочих дня, но не позднее 16 часов 00 минут календарного дня, предшествующего экзамену</w:t>
      </w:r>
      <w:r>
        <w:rPr>
          <w:rFonts w:ascii="Tinos" w:hAnsi="Tinos" w:eastAsia="Tinos" w:cs="Tinos"/>
          <w:sz w:val="28"/>
          <w:szCs w:val="28"/>
          <w:highlight w:val="none"/>
          <w:lang w:val="ru-RU"/>
        </w:rPr>
        <w:t xml:space="preserve">) технический специалист должен продемонстрировать члену ГЭК и руководителю ППЭ: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и программного обеспечения, необходимого для указанной категории участников;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станцию (станции) КЕГЭ, установленную в режиме для участников с ОВЗ (расширенные настройки);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техническим КИМ, в том числе с использованием </w:t>
      </w:r>
      <w:r>
        <w:rPr>
          <w:rFonts w:ascii="Tinos" w:hAnsi="Tinos" w:eastAsia="Tinos" w:cs="Tinos"/>
          <w:sz w:val="28"/>
          <w:szCs w:val="28"/>
          <w:highlight w:val="none"/>
          <w:lang w:val="ru-RU"/>
        </w:rPr>
        <w:t xml:space="preserve">специализированного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установленного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В день проведения экзамена до начала экзамена </w:t>
      </w:r>
      <w:r>
        <w:rPr>
          <w:rFonts w:ascii="Tinos" w:hAnsi="Tinos" w:eastAsia="Tinos" w:cs="Tinos"/>
          <w:sz w:val="28"/>
          <w:szCs w:val="28"/>
          <w:highlight w:val="none"/>
          <w:lang w:val="ru-RU"/>
        </w:rPr>
        <w:t xml:space="preserve">технический специалист должен оказать содействие (при необходимости) ассистентам участника в части </w:t>
      </w:r>
      <w:r>
        <w:rPr>
          <w:rFonts w:ascii="Tinos" w:hAnsi="Tinos" w:eastAsia="Tinos" w:cs="Tinos"/>
          <w:sz w:val="28"/>
          <w:szCs w:val="28"/>
          <w:highlight w:val="none"/>
          <w:lang w:val="ru-RU"/>
        </w:rPr>
        <w:t xml:space="preserve">настройки используемого оборудования (громкость воспроизведения наушников (</w:t>
      </w:r>
      <w:r>
        <w:rPr>
          <w:rFonts w:ascii="Tinos" w:hAnsi="Tinos" w:eastAsia="Tinos" w:cs="Tinos"/>
          <w:sz w:val="28"/>
          <w:szCs w:val="28"/>
          <w:highlight w:val="none"/>
          <w:lang w:val="ru-RU"/>
        </w:rPr>
        <w:t xml:space="preserve">аудиогарнитуры</w:t>
      </w:r>
      <w:r>
        <w:rPr>
          <w:rFonts w:ascii="Tinos" w:hAnsi="Tinos" w:eastAsia="Tinos" w:cs="Tinos"/>
          <w:sz w:val="28"/>
          <w:szCs w:val="28"/>
          <w:highlight w:val="none"/>
          <w:lang w:val="ru-RU"/>
        </w:rPr>
        <w:t xml:space="preserve">),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слабовидящих и </w:t>
      </w:r>
      <w:r>
        <w:rPr>
          <w:rFonts w:ascii="Tinos" w:hAnsi="Tinos" w:eastAsia="Tinos" w:cs="Tinos"/>
          <w:b/>
          <w:sz w:val="28"/>
          <w:szCs w:val="28"/>
          <w:highlight w:val="none"/>
          <w:lang w:val="ru-RU"/>
        </w:rPr>
        <w:t xml:space="preserve">кохлеарно</w:t>
      </w:r>
      <w:r>
        <w:rPr>
          <w:rFonts w:ascii="Tinos" w:hAnsi="Tinos" w:eastAsia="Tinos" w:cs="Tinos"/>
          <w:b/>
          <w:sz w:val="28"/>
          <w:szCs w:val="28"/>
          <w:highlight w:val="none"/>
          <w:lang w:val="ru-RU"/>
        </w:rPr>
        <w:t xml:space="preserve"> имплантированных участников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проведения экзамена используются стандартные ЭМ, предоставляемые в ППЭ по сети «Интернет».</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технической подготовки ППЭ (не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5 календарных дней до проведения экзамена) технический специалист должен провести техническую подготовку станций КЕГЭ 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получить из РЦОИ дополнительные дистрибутивы:</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 версия для участников с ОВЗ (расширенные настройки);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соответствие технических характеристик компьютеров (ноутбуков), предназначенных для установки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 предъявляемым требованиям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и настроить специализированное оборудование в соответствии с рекомендациями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наушники (</w:t>
      </w:r>
      <w:r>
        <w:rPr>
          <w:rFonts w:ascii="Tinos" w:hAnsi="Tinos" w:eastAsia="Tinos" w:cs="Tinos"/>
          <w:sz w:val="28"/>
          <w:szCs w:val="28"/>
          <w:highlight w:val="none"/>
          <w:lang w:val="ru-RU"/>
        </w:rPr>
        <w:t xml:space="preserve">аудиогарнитуру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электронное увеличивающее устройство (при наличии);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установить и настроить программу экранного увеличения или программу экранного доступа и увеличения;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установить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 версия для участников с ОВЗ (расширенные настройки) на все компьютеры (ноутбуки), предназначенные для использования при проведении экзаменов для данной категории участников, включая резервные;</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 проведении проверки тестового КИМ дополнительно проверить взаимодействие установленной программы экранного увеличения (программы экранного доступа и увеличения)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 в части озвучивания и увеличения элементов интерфейса участника экзамена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(не ранее чем за 2 рабочих дня, но не позднее 16 часов 00 минут календарного дня, предшествующего экзамену</w:t>
      </w:r>
      <w:r>
        <w:rPr>
          <w:rFonts w:ascii="Tinos" w:hAnsi="Tinos" w:eastAsia="Tinos" w:cs="Tinos"/>
          <w:sz w:val="28"/>
          <w:szCs w:val="28"/>
          <w:highlight w:val="none"/>
          <w:lang w:val="ru-RU"/>
        </w:rPr>
        <w:t xml:space="preserve">) технический специалист должен продемонстрировать члену ГЭК и руководителю ППЭ: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и программного обеспечения, необходимого для указанной категории участников;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станцию (станции) КЕГЭ, установленную в режиме для участников с ОВЗ (расширенные настройки);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тестовым КИМ, в том числе с использованием специализированного программного обеспечения, установленного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В день проведения экзамена</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до начала экзамена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технический специалист должен оказать содействие (при необходимости) ассистентам участников в части настройки параметров операционной системы и используемого оборудования (наушники или </w:t>
      </w:r>
      <w:r>
        <w:rPr>
          <w:rFonts w:ascii="Tinos" w:hAnsi="Tinos" w:eastAsia="Tinos" w:cs="Tinos"/>
          <w:sz w:val="28"/>
          <w:szCs w:val="28"/>
          <w:highlight w:val="none"/>
          <w:lang w:val="ru-RU"/>
        </w:rPr>
        <w:t xml:space="preserve">аудиогарнитура</w:t>
      </w:r>
      <w:r>
        <w:rPr>
          <w:rFonts w:ascii="Tinos" w:hAnsi="Tinos" w:eastAsia="Tinos" w:cs="Tinos"/>
          <w:sz w:val="28"/>
          <w:szCs w:val="28"/>
          <w:highlight w:val="none"/>
          <w:lang w:val="ru-RU"/>
        </w:rPr>
        <w:t xml:space="preserve">, громкость воспроизведения, контрастная цветовая схема, увеличение мас</w:t>
      </w:r>
      <w:r>
        <w:rPr>
          <w:rFonts w:ascii="Tinos" w:hAnsi="Tinos" w:eastAsia="Tinos" w:cs="Tinos"/>
          <w:sz w:val="28"/>
          <w:szCs w:val="28"/>
          <w:highlight w:val="none"/>
          <w:lang w:val="ru-RU"/>
        </w:rPr>
        <w:t xml:space="preserve">ш</w:t>
      </w:r>
      <w:r>
        <w:rPr>
          <w:rFonts w:ascii="Tinos" w:hAnsi="Tinos" w:eastAsia="Tinos" w:cs="Tinos"/>
          <w:sz w:val="28"/>
          <w:szCs w:val="28"/>
          <w:highlight w:val="none"/>
          <w:lang w:val="ru-RU"/>
        </w:rPr>
        <w:t xml:space="preserve">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w:t>
      </w:r>
      <w:r>
        <w:rPr>
          <w:rFonts w:ascii="Tinos" w:hAnsi="Tinos" w:eastAsia="Tinos" w:cs="Tinos"/>
          <w:sz w:val="28"/>
          <w:szCs w:val="28"/>
          <w:highlight w:val="none"/>
          <w:lang w:val="ru-RU"/>
        </w:rPr>
        <w:t xml:space="preserve"> потребностей участника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участников экзамена с нарушениями опорно-двигательного аппарата: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проведения экзамена используются стандартные ЭМ, предоставляемые в ППЭ</w:t>
      </w:r>
      <w:r>
        <w:rPr>
          <w:rFonts w:ascii="Tinos" w:hAnsi="Tinos" w:eastAsia="Tinos" w:cs="Tinos"/>
          <w:sz w:val="28"/>
          <w:szCs w:val="28"/>
          <w:highlight w:val="none"/>
          <w:lang w:val="ru-RU"/>
        </w:rPr>
        <w:t xml:space="preserve"> по сети «Интернет»</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технической подготовки ППЭ</w:t>
      </w:r>
      <w:r>
        <w:rPr>
          <w:rFonts w:ascii="Tinos" w:hAnsi="Tinos" w:eastAsia="Tinos" w:cs="Tinos"/>
          <w:sz w:val="28"/>
          <w:szCs w:val="28"/>
          <w:highlight w:val="none"/>
          <w:lang w:val="ru-RU"/>
        </w:rPr>
        <w:t xml:space="preserve"> (не </w:t>
      </w:r>
      <w:r>
        <w:rPr>
          <w:rFonts w:ascii="Tinos" w:hAnsi="Tinos" w:eastAsia="Tinos" w:cs="Tinos"/>
          <w:sz w:val="28"/>
          <w:szCs w:val="28"/>
          <w:highlight w:val="none"/>
          <w:lang w:val="ru-RU"/>
        </w:rPr>
        <w:t xml:space="preserve">позднее</w:t>
      </w:r>
      <w:r>
        <w:rPr>
          <w:rFonts w:ascii="Tinos" w:hAnsi="Tinos" w:eastAsia="Tinos" w:cs="Tinos"/>
          <w:sz w:val="28"/>
          <w:szCs w:val="28"/>
          <w:highlight w:val="none"/>
          <w:lang w:val="ru-RU"/>
        </w:rPr>
        <w:t xml:space="preserve"> чем за 5 календарных дней до проведения экзамена) технический специалист должен провести техническую подготовку станций КЕГЭ для участников экзамена с нарушениями опорно-двигательного аппарата: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 наличии соответствующих рекомендаций ПМПК к настройке компьютера (ноутбука) получить из РЦОИ дополнительные дистрибутивы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версия для участников с ОВЗ (расширенные настройки);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проверить соответствие технических характеристик компьютеров (ноутбуков), предназначенных для установки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я</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КЕГЭ</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 предъявляемым требованиям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и настроить специализированное оборудование с учетом индивидуальных потребностей участников в соответствии с рекомендациями для указанной категории участников</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установить ПО «Станция КЕГЭ», версия для участников с ОВЗ (расширенные настро</w:t>
      </w:r>
      <w:r>
        <w:rPr>
          <w:rFonts w:ascii="Tinos" w:hAnsi="Tinos" w:eastAsia="Tinos" w:cs="Tinos"/>
          <w:sz w:val="28"/>
          <w:szCs w:val="28"/>
          <w:highlight w:val="none"/>
          <w:lang w:val="ru-RU"/>
        </w:rPr>
        <w:t xml:space="preserve">йки) на все компьютеры (ноутбуки), предназначенные для использования при проведении экзаменов для данной категории участников, включая резервные, для участников с ОВЗ при наличии соответствующих рекомендаций ПМПК к настройке компьютера (ноутбука), в случае</w:t>
      </w:r>
      <w:r>
        <w:rPr>
          <w:rFonts w:ascii="Tinos" w:hAnsi="Tinos" w:eastAsia="Tinos" w:cs="Tinos"/>
          <w:sz w:val="28"/>
          <w:szCs w:val="28"/>
          <w:highlight w:val="none"/>
          <w:lang w:val="ru-RU"/>
        </w:rPr>
        <w:t xml:space="preserve"> отсутствия соответствующих рекомендаций ПМПК для участника устанавливается стандартная версия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 проведении проверки тестового КИМ дополнительно проверить взаимодействие специализированного оборудования </w:t>
      </w:r>
      <w:r>
        <w:rPr>
          <w:rFonts w:ascii="Tinos" w:hAnsi="Tinos" w:eastAsia="Tinos" w:cs="Tinos"/>
          <w:sz w:val="28"/>
          <w:szCs w:val="28"/>
          <w:highlight w:val="none"/>
          <w:lang w:val="ru-RU"/>
        </w:rPr>
        <w:t xml:space="preserve">с</w:t>
      </w:r>
      <w:r>
        <w:rPr>
          <w:rFonts w:ascii="Tinos" w:hAnsi="Tinos" w:eastAsia="Tinos" w:cs="Tinos"/>
          <w:sz w:val="28"/>
          <w:szCs w:val="28"/>
          <w:highlight w:val="none"/>
          <w:lang w:val="ru-RU"/>
        </w:rPr>
        <w:t xml:space="preserve"> ПО «Станция КЕГЭ».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не ранее чем за 2 рабочих дня, не позднее 16 часов 00 минут календарного дня, предшествующего экзамену</w:t>
      </w:r>
      <w:r>
        <w:rPr>
          <w:rFonts w:ascii="Tinos" w:hAnsi="Tinos" w:eastAsia="Tinos" w:cs="Tinos"/>
          <w:sz w:val="28"/>
          <w:szCs w:val="28"/>
          <w:highlight w:val="none"/>
          <w:lang w:val="ru-RU"/>
        </w:rPr>
        <w:t xml:space="preserve">) технический специалист должен продемонстрировать члену ГЭК и руководителю ППЭ: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необходимого для указанной категории участников, с учетом индивидуальных потребностей участников: специальные периферические устройства ввода (ножная мышь, роллер, джойсти</w:t>
      </w:r>
      <w:r>
        <w:rPr>
          <w:rFonts w:ascii="Tinos" w:hAnsi="Tinos" w:eastAsia="Tinos" w:cs="Tinos"/>
          <w:sz w:val="28"/>
          <w:szCs w:val="28"/>
          <w:highlight w:val="none"/>
          <w:lang w:val="ru-RU"/>
        </w:rPr>
        <w:t xml:space="preserve">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станцию (станции) КЕГЭ, установленную в режиме для участников с ОВЗ (расширенные настройки) при наличии соответствующих рекомендаций ПМПК к настройке компьютера (ноутбука);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В день проведения экзамена</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до начала экзамена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технический специалист должен оказать содействие (при необходимости) ассистентам участников в части настройки параметров операционной системы и используемого оборудования (специальные периферические устройства вв</w:t>
      </w:r>
      <w:r>
        <w:rPr>
          <w:rFonts w:ascii="Tinos" w:hAnsi="Tinos" w:eastAsia="Tinos" w:cs="Tinos"/>
          <w:sz w:val="28"/>
          <w:szCs w:val="28"/>
          <w:highlight w:val="none"/>
          <w:lang w:val="ru-RU"/>
        </w:rPr>
        <w:t xml:space="preserve">ода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прочих категорий участников экзамена:</w:t>
      </w:r>
      <w:r>
        <w:rPr>
          <w:rFonts w:ascii="Tinos" w:hAnsi="Tinos" w:cs="Tinos"/>
          <w:sz w:val="28"/>
          <w:szCs w:val="28"/>
          <w:highlight w:val="none"/>
        </w:rPr>
      </w:r>
      <w:r>
        <w:rPr>
          <w:rFonts w:ascii="Tinos" w:hAnsi="Tinos" w:cs="Tinos"/>
          <w:sz w:val="28"/>
          <w:szCs w:val="28"/>
          <w:highlight w:val="none"/>
        </w:rPr>
      </w:r>
    </w:p>
    <w:p>
      <w:pPr>
        <w:ind w:right="13"/>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проведения экзамена используются стандартные ЭМ, предоставляемые в ППЭ по сети «Интернет», а также стандартная версия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Памятка для руководителя ППЭ при проведении КЕГЭ для лиц с ОВЗ, детей-инвалидов и инвалидов.</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обеспечивает проведение технической подготовки, контроля технической готовности ППЭ, а также проведение и завершение экзамена в соответствии с инструкцией для руководителя ППЭ, с учетом особенностей, 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Подготовка к проведению ЕГЭ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2 рабочих дня</w:t>
      </w:r>
      <w:r>
        <w:rPr>
          <w:rFonts w:ascii="Tinos" w:hAnsi="Tinos" w:eastAsia="Tinos" w:cs="Tinos"/>
          <w:sz w:val="28"/>
          <w:szCs w:val="28"/>
          <w:highlight w:val="none"/>
          <w:lang w:val="ru-RU"/>
        </w:rPr>
        <w:t xml:space="preserve"> до проведения экзамена руководитель ППЭ должен получить от Министерства образования области и передать техническому специалисту: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информацию о количестве участников экзамена с ОВЗ, детей-инвалидов и инвалидов в ППЭ и о необходимости организации проведения экзаменов в условиях, учитывающих состояние их здоровья, особенности психофизич</w:t>
      </w:r>
      <w:r>
        <w:rPr>
          <w:rFonts w:ascii="Tinos" w:hAnsi="Tinos" w:eastAsia="Tinos" w:cs="Tinos"/>
          <w:sz w:val="28"/>
          <w:szCs w:val="28"/>
          <w:highlight w:val="none"/>
          <w:lang w:val="ru-RU"/>
        </w:rPr>
        <w:t xml:space="preserve">еского развития. На основании полученных сведений технический специалист обеспечивает установку и настройку дополнительного специализированного программного обеспечения и оборудования с учетом индивидуальных возможностей и потребностей участников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w:t>
      </w:r>
      <w:r>
        <w:rPr>
          <w:rFonts w:ascii="Tinos" w:hAnsi="Tinos" w:eastAsia="Tinos" w:cs="Tinos"/>
          <w:sz w:val="28"/>
          <w:szCs w:val="28"/>
          <w:highlight w:val="none"/>
          <w:u w:val="single"/>
          <w:lang w:val="ru-RU"/>
        </w:rPr>
        <w:t xml:space="preserve">совместно с руководителем образовательной организации, на базе которой организован ППЭ, </w:t>
      </w:r>
      <w:r>
        <w:rPr>
          <w:rFonts w:ascii="Tinos" w:hAnsi="Tinos" w:eastAsia="Tinos" w:cs="Tinos"/>
          <w:sz w:val="28"/>
          <w:szCs w:val="28"/>
          <w:highlight w:val="none"/>
          <w:u w:val="single"/>
          <w:lang w:val="ru-RU"/>
        </w:rPr>
        <w:t xml:space="preserve">д</w:t>
      </w:r>
      <w:r>
        <w:rPr>
          <w:rFonts w:ascii="Tinos" w:hAnsi="Tinos" w:eastAsia="Tinos" w:cs="Tinos"/>
          <w:sz w:val="28"/>
          <w:szCs w:val="28"/>
          <w:highlight w:val="none"/>
          <w:lang w:val="ru-RU"/>
        </w:rPr>
        <w:t xml:space="preserve">олжны: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 обеспечить готовность ППЭ к проведению ЕГЭ в соответствии с требованиями к ППЭ, изложенными в Положении о пункте проведени</w:t>
      </w:r>
      <w:r>
        <w:rPr>
          <w:rFonts w:ascii="Tinos" w:hAnsi="Tinos" w:eastAsia="Tinos" w:cs="Tinos"/>
          <w:sz w:val="28"/>
          <w:szCs w:val="28"/>
          <w:highlight w:val="none"/>
          <w:lang w:val="ru-RU"/>
        </w:rPr>
        <w:t xml:space="preserve">я экзаменов при проведении государственной итоговой аттестации по образовательным программам среднего общего образования на территории Вологодской области, утвержденном настоящим приказом, в настоящей Инструкции, в том числе в части технического оснащения.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за один календарный день до проведения экзамена</w:t>
      </w:r>
      <w:r>
        <w:rPr>
          <w:rFonts w:ascii="Tinos" w:hAnsi="Tinos" w:eastAsia="Tinos" w:cs="Tinos"/>
          <w:sz w:val="28"/>
          <w:szCs w:val="28"/>
          <w:highlight w:val="none"/>
          <w:lang w:val="ru-RU"/>
        </w:rPr>
        <w:t xml:space="preserve"> проверить наличие:</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аудиторий, необходимых для проведения ЕГЭ для участников экзамена с ОВЗ, детей-инвалидов и инвалидов;</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отдельного места для хранения личных вещей организаторов ППЭ, медицинского работника, </w:t>
      </w:r>
      <w:r>
        <w:rPr>
          <w:rFonts w:ascii="Tinos" w:hAnsi="Tinos" w:eastAsia="Tinos" w:cs="Tinos"/>
          <w:sz w:val="28"/>
          <w:szCs w:val="28"/>
          <w:highlight w:val="none"/>
          <w:lang w:val="ru-RU"/>
        </w:rPr>
        <w:t xml:space="preserve">а</w:t>
      </w:r>
      <w:r>
        <w:rPr>
          <w:rFonts w:ascii="Tinos" w:hAnsi="Tinos" w:eastAsia="Tinos" w:cs="Tinos"/>
          <w:sz w:val="28"/>
          <w:szCs w:val="28"/>
          <w:highlight w:val="none"/>
          <w:lang w:val="ru-RU"/>
        </w:rPr>
        <w:t xml:space="preserve">ссистентов для уч</w:t>
      </w:r>
      <w:r>
        <w:rPr>
          <w:rFonts w:ascii="Tinos" w:hAnsi="Tinos" w:eastAsia="Tinos" w:cs="Tinos"/>
          <w:sz w:val="28"/>
          <w:szCs w:val="28"/>
          <w:highlight w:val="none"/>
          <w:lang w:val="ru-RU"/>
        </w:rPr>
        <w:t xml:space="preserve">астников экзамена с ОВЗ, детей-</w:t>
      </w:r>
      <w:r>
        <w:rPr>
          <w:rFonts w:ascii="Tinos" w:hAnsi="Tinos" w:eastAsia="Tinos" w:cs="Tinos"/>
          <w:sz w:val="28"/>
          <w:szCs w:val="28"/>
          <w:highlight w:val="none"/>
          <w:lang w:val="ru-RU"/>
        </w:rPr>
        <w:t xml:space="preserve">инвалидов и инвалидов, </w:t>
      </w:r>
      <w:r>
        <w:rPr>
          <w:rFonts w:ascii="Tinos" w:hAnsi="Tinos" w:eastAsia="Tinos" w:cs="Tinos"/>
          <w:sz w:val="28"/>
          <w:szCs w:val="28"/>
          <w:highlight w:val="none"/>
          <w:lang w:val="ru-RU"/>
        </w:rPr>
        <w:t xml:space="preserve">которое</w:t>
      </w:r>
      <w:r>
        <w:rPr>
          <w:rFonts w:ascii="Tinos" w:hAnsi="Tinos" w:eastAsia="Tinos" w:cs="Tinos"/>
          <w:sz w:val="28"/>
          <w:szCs w:val="28"/>
          <w:highlight w:val="none"/>
          <w:lang w:val="ru-RU"/>
        </w:rPr>
        <w:t xml:space="preserve"> расположено до входа в ППЭ.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w:t>
      </w: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за один календарный день до проведения экзамена</w:t>
      </w:r>
      <w:r>
        <w:rPr>
          <w:rFonts w:ascii="Tinos" w:hAnsi="Tinos" w:eastAsia="Tinos" w:cs="Tinos"/>
          <w:sz w:val="28"/>
          <w:szCs w:val="28"/>
          <w:highlight w:val="none"/>
          <w:lang w:val="ru-RU"/>
        </w:rPr>
        <w:t xml:space="preserve"> должен подготовить: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участника КЕГЭ по одному комплекту на каждого</w:t>
      </w:r>
      <w:r>
        <w:rPr>
          <w:rFonts w:ascii="Tinos" w:hAnsi="Tinos" w:eastAsia="Tinos" w:cs="Tinos"/>
          <w:sz w:val="28"/>
          <w:szCs w:val="28"/>
          <w:highlight w:val="none"/>
          <w:lang w:val="ru-RU"/>
        </w:rPr>
        <w:t xml:space="preserve"> участника экзамена (за исключением слепых и слабовидящих участников экзамена, использующих шрифт Брайля, а также слабовидящих участников КЕГЭ и участников КЕГЭ с нарушениями опорно-двигательного аппарата, если они нуждаются в масштабированных материалах);</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не менее двух на каждого участника экзамена (за исключением слепых и слабовидящих участников экзамена, использующих рельефно-точечный шрифт Брайля);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для сдачи КЕГЭ (для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масштабированный черновик КЕГЭ (для слабовидящих участников КЕГЭ и участников КЕГЭ с нарушениями опорно-двигательного </w:t>
      </w:r>
      <w:r>
        <w:rPr>
          <w:rFonts w:ascii="Tinos" w:hAnsi="Tinos" w:eastAsia="Tinos" w:cs="Tinos"/>
          <w:sz w:val="28"/>
          <w:szCs w:val="28"/>
          <w:highlight w:val="none"/>
          <w:lang w:val="ru-RU"/>
        </w:rPr>
        <w:t xml:space="preserve">аппарата</w:t>
      </w:r>
      <w:r>
        <w:rPr>
          <w:rFonts w:ascii="Tinos" w:hAnsi="Tinos" w:eastAsia="Tinos" w:cs="Tinos"/>
          <w:sz w:val="28"/>
          <w:szCs w:val="28"/>
          <w:highlight w:val="none"/>
          <w:lang w:val="ru-RU"/>
        </w:rPr>
        <w:t xml:space="preserve"> если они нуждаются в масштабированных материалах);</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приложение к паспорту станции КЕГЭ для соответствующего компьютера (за исключением слабовидящих участников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масштабированное приложение к паспорту станции КЕГЭ для соответствующего компьютера (для слабовидящих участников КЕГЭ).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слепых и слабовидящих участников экзамена, использующих </w:t>
      </w:r>
      <w:r>
        <w:rPr>
          <w:rFonts w:ascii="Tinos" w:hAnsi="Tinos" w:eastAsia="Tinos" w:cs="Tinos"/>
          <w:b/>
          <w:sz w:val="28"/>
          <w:szCs w:val="28"/>
          <w:highlight w:val="none"/>
          <w:lang w:val="ru-RU"/>
        </w:rPr>
        <w:t xml:space="preserve">рельефноточечный</w:t>
      </w:r>
      <w:r>
        <w:rPr>
          <w:rFonts w:ascii="Tinos" w:hAnsi="Tinos" w:eastAsia="Tinos" w:cs="Tinos"/>
          <w:b/>
          <w:sz w:val="28"/>
          <w:szCs w:val="28"/>
          <w:highlight w:val="none"/>
          <w:lang w:val="ru-RU"/>
        </w:rPr>
        <w:t xml:space="preserve"> шрифт Брайля: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w:t>
      </w: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за один календарный день до проведения экзамена</w:t>
      </w:r>
      <w:r>
        <w:rPr>
          <w:rFonts w:ascii="Tinos" w:hAnsi="Tinos" w:eastAsia="Tinos" w:cs="Tinos"/>
          <w:sz w:val="28"/>
          <w:szCs w:val="28"/>
          <w:highlight w:val="none"/>
          <w:lang w:val="ru-RU"/>
        </w:rPr>
        <w:t xml:space="preserve"> должен подготовить: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из расчета по 10 листов для письма по системе Брайля на каждого участника экзамена (для слепых и слабовидящих участников экзамена, использующих рельефно-точечный шрифт Брайля).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связи с выполнением экзаменационной работы и вводом ответов на компьютере памятка для слепых и слабовидящих участников экзамена по заполнению релье</w:t>
      </w:r>
      <w:r>
        <w:rPr>
          <w:rFonts w:ascii="Tinos" w:hAnsi="Tinos" w:eastAsia="Tinos" w:cs="Tinos"/>
          <w:sz w:val="28"/>
          <w:szCs w:val="28"/>
          <w:highlight w:val="none"/>
          <w:lang w:val="ru-RU"/>
        </w:rPr>
        <w:t xml:space="preserve">фно-</w:t>
      </w:r>
      <w:r>
        <w:rPr>
          <w:rFonts w:ascii="Tinos" w:hAnsi="Tinos" w:eastAsia="Tinos" w:cs="Tinos"/>
          <w:sz w:val="28"/>
          <w:szCs w:val="28"/>
          <w:highlight w:val="none"/>
          <w:lang w:val="ru-RU"/>
        </w:rPr>
        <w:t xml:space="preserve">точечным шрифтом Брайля тетрадей для ответов на задания не предусмотрена. Подготовка помещения для работы комиссии </w:t>
      </w:r>
      <w:r>
        <w:rPr>
          <w:rFonts w:ascii="Tinos" w:hAnsi="Tinos" w:eastAsia="Tinos" w:cs="Tinos"/>
          <w:sz w:val="28"/>
          <w:szCs w:val="28"/>
          <w:highlight w:val="none"/>
          <w:lang w:val="ru-RU"/>
        </w:rPr>
        <w:t xml:space="preserve">тифлопереводчиков</w:t>
      </w:r>
      <w:r>
        <w:rPr>
          <w:rFonts w:ascii="Tinos" w:hAnsi="Tinos" w:eastAsia="Tinos" w:cs="Tinos"/>
          <w:sz w:val="28"/>
          <w:szCs w:val="28"/>
          <w:highlight w:val="none"/>
          <w:lang w:val="ru-RU"/>
        </w:rPr>
        <w:t xml:space="preserve"> при проведении КЕГЭ не требуется.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Станция организатора в аудиторию ППЭ, в которой проводится экзамен только для слепых и слабовидящих участников экзамена, использующих рельефно-точечный шрифт Брайля, не устанавливается, печать бланков </w:t>
      </w:r>
      <w:r>
        <w:rPr>
          <w:rFonts w:ascii="Tinos" w:hAnsi="Tinos" w:eastAsia="Tinos" w:cs="Tinos"/>
          <w:sz w:val="28"/>
          <w:szCs w:val="28"/>
          <w:highlight w:val="none"/>
          <w:lang w:val="ru-RU"/>
        </w:rPr>
        <w:t xml:space="preserve">регистрации</w:t>
      </w:r>
      <w:r>
        <w:rPr>
          <w:rFonts w:ascii="Tinos" w:hAnsi="Tinos" w:eastAsia="Tinos" w:cs="Tinos"/>
          <w:sz w:val="28"/>
          <w:szCs w:val="28"/>
          <w:highlight w:val="none"/>
          <w:lang w:val="ru-RU"/>
        </w:rPr>
        <w:t xml:space="preserve"> и их сканирование по окончании экзамена не выполняются.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(не ранее чем за 2 рабочих дня, но не позднее 16 часов 00 минут календарного дня, предшествующего экзамену) совместно с членом ГЭК и техническим специалистом проконтролировать: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и программного обеспечения, необходимого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наушники (</w:t>
      </w:r>
      <w:r>
        <w:rPr>
          <w:rFonts w:ascii="Tinos" w:hAnsi="Tinos" w:eastAsia="Tinos" w:cs="Tinos"/>
          <w:sz w:val="28"/>
          <w:szCs w:val="28"/>
          <w:highlight w:val="none"/>
          <w:lang w:val="ru-RU"/>
        </w:rPr>
        <w:t xml:space="preserve">аудиогарнитуру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портативный тактильный дисплей Брайля типа </w:t>
      </w:r>
      <w:r>
        <w:rPr>
          <w:rFonts w:ascii="Tinos" w:hAnsi="Tinos" w:eastAsia="Tinos" w:cs="Tinos"/>
          <w:sz w:val="28"/>
          <w:szCs w:val="28"/>
          <w:highlight w:val="none"/>
          <w:lang w:val="ru-RU"/>
        </w:rPr>
        <w:t xml:space="preserve">Focus</w:t>
      </w:r>
      <w:r>
        <w:rPr>
          <w:rFonts w:ascii="Tinos" w:hAnsi="Tinos" w:eastAsia="Tinos" w:cs="Tinos"/>
          <w:sz w:val="28"/>
          <w:szCs w:val="28"/>
          <w:highlight w:val="none"/>
          <w:lang w:val="ru-RU"/>
        </w:rPr>
        <w:t xml:space="preserve"> 40 </w:t>
      </w:r>
      <w:r>
        <w:rPr>
          <w:rFonts w:ascii="Tinos" w:hAnsi="Tinos" w:eastAsia="Tinos" w:cs="Tinos"/>
          <w:sz w:val="28"/>
          <w:szCs w:val="28"/>
          <w:highlight w:val="none"/>
          <w:lang w:val="ru-RU"/>
        </w:rPr>
        <w:t xml:space="preserve">Blue</w:t>
      </w:r>
      <w:r>
        <w:rPr>
          <w:rFonts w:ascii="Tinos" w:hAnsi="Tinos" w:eastAsia="Tinos" w:cs="Tinos"/>
          <w:sz w:val="28"/>
          <w:szCs w:val="28"/>
          <w:highlight w:val="none"/>
          <w:lang w:val="ru-RU"/>
        </w:rPr>
        <w:t xml:space="preserve"> или его аналог;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программа экранного доступа или программа экранного доступа и увеличения.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соответствие технических характеристик станции (станций) КЕГЭ требованиям настоящей Инструкции;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станции (станций) КЕГЭ, установленной в режиме для участников с ОВЗ (расширенные настройки);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тестовым КИМ, в том числе взаимодействие установленной программы экранного диктора (программы экранного доступа и увеличения) со станцией КЕГЭ в части озвучивания и увеличения элементов интерфейса участника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масштабирования бланков регистрации руководитель ППЭ </w:t>
      </w: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за один календарный день до проведения экзамен</w:t>
      </w:r>
      <w:r>
        <w:rPr>
          <w:rFonts w:ascii="Tinos" w:hAnsi="Tinos" w:eastAsia="Tinos" w:cs="Tinos"/>
          <w:sz w:val="28"/>
          <w:szCs w:val="28"/>
          <w:highlight w:val="none"/>
          <w:lang w:val="ru-RU"/>
        </w:rPr>
        <w:t xml:space="preserve">а должен подготовить: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 необходимом количестве пакеты размером формата А3 и форму ППЭ-11 для наклеивания на пакеты;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в необходимом количестве в аудитории увеличительные средства для масштабирования бланков регистрации до формата А3.</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отсутствия увеличительных средств – выдать увеличительное устройство – лупу.</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Допускается не масштабировать бланки регистрации при заполнении указанных бланков ассистентами. Масштабирование КИМ при проведении КЕГЭ не предусмотрено.</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При наличии соответствующих рекомендаций ПМПК допускается использование специальных технических средств, в том числе электронного увеличительного устройства.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(не ранее чем за 2 рабочих дня, но не позднее 16 часов 00 минут календарного дня, предшествующего экзамену) совместно с членом ГЭК и техническим специалистом проконтролировать: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и программного обеспечения, необходимого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наушники (</w:t>
      </w:r>
      <w:r>
        <w:rPr>
          <w:rFonts w:ascii="Tinos" w:hAnsi="Tinos" w:eastAsia="Tinos" w:cs="Tinos"/>
          <w:sz w:val="28"/>
          <w:szCs w:val="28"/>
          <w:highlight w:val="none"/>
          <w:lang w:val="ru-RU"/>
        </w:rPr>
        <w:t xml:space="preserve">аудиогарнитуру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электронное увеличивающее устройство (при наличии);</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программа экранного увеличения или программа экранного доступа и увеличения.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соответствие технических характеристик станции (станций) КЕГЭ требованиям настоящей Инструкции;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станции (станций) КЕГЭ, установленной в режиме для участников с ОВЗ (расширенные настройки);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тестовым КИМ, в том числе взаимодействие установленной программы экранного увеличения (программы экранного доступа и увеличения) со станцией КЕГЭ в части озвучивания и увеличения элементов </w:t>
      </w:r>
      <w:r>
        <w:rPr>
          <w:rFonts w:ascii="Tinos" w:hAnsi="Tinos" w:eastAsia="Tinos" w:cs="Tinos"/>
          <w:sz w:val="28"/>
          <w:szCs w:val="28"/>
          <w:highlight w:val="none"/>
          <w:lang w:val="ru-RU"/>
        </w:rPr>
        <w:t xml:space="preserve">интерфейса участника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глухих, позднооглохших, </w:t>
      </w:r>
      <w:r>
        <w:rPr>
          <w:rFonts w:ascii="Tinos" w:hAnsi="Tinos" w:eastAsia="Tinos" w:cs="Tinos"/>
          <w:b/>
          <w:sz w:val="28"/>
          <w:szCs w:val="28"/>
          <w:highlight w:val="none"/>
          <w:lang w:val="ru-RU"/>
        </w:rPr>
        <w:t xml:space="preserve">кохлеарно</w:t>
      </w:r>
      <w:r>
        <w:rPr>
          <w:rFonts w:ascii="Tinos" w:hAnsi="Tinos" w:eastAsia="Tinos" w:cs="Tinos"/>
          <w:b/>
          <w:sz w:val="28"/>
          <w:szCs w:val="28"/>
          <w:highlight w:val="none"/>
          <w:lang w:val="ru-RU"/>
        </w:rPr>
        <w:t xml:space="preserve"> имплантированн</w:t>
      </w:r>
      <w:r>
        <w:rPr>
          <w:rFonts w:ascii="Tinos" w:hAnsi="Tinos" w:eastAsia="Tinos" w:cs="Tinos"/>
          <w:b/>
          <w:sz w:val="28"/>
          <w:szCs w:val="28"/>
          <w:highlight w:val="none"/>
          <w:lang w:val="ru-RU"/>
        </w:rPr>
        <w:t xml:space="preserve">ых и слабослышащих участников экзамена</w:t>
      </w:r>
      <w:r>
        <w:rPr>
          <w:rFonts w:ascii="Tinos" w:hAnsi="Tinos" w:eastAsia="Tinos" w:cs="Tinos"/>
          <w:b/>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w:t>
      </w: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за один календарный день до проведения экзамена</w:t>
      </w:r>
      <w:r>
        <w:rPr>
          <w:rFonts w:ascii="Tinos" w:hAnsi="Tinos" w:eastAsia="Tinos" w:cs="Tinos"/>
          <w:sz w:val="28"/>
          <w:szCs w:val="28"/>
          <w:highlight w:val="none"/>
          <w:lang w:val="ru-RU"/>
        </w:rPr>
        <w:t xml:space="preserve"> должен:</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подготовить в необходимом количестве правила по заполнению бланков регистрации КЕГЭ в соответствии с Правилами заполнения бланков ЕГЭ;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оборудовать аудитории звукоусиливающей аппаратурой как коллективного, так и индивидуального использования.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(не ранее чем за 2 рабочих дня, но не позднее 16 часов 00 минут календарного дня, предшествующего экзамену) совместно с членом ГЭК и техническим специалистом проконтролировать: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соответствие технических характеристик станции (станций) КЕГЭ требованиям настоящей Инструкции;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станции (станций) КЕГЭ, установленной в режиме для участников с ОВЗ (стандартные настройки).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участников экзамена с нарушениями опорно-двигательного аппарата: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должен обеспечить беспрепятственный доступ в аудитории, в том числе учитывать необходимость увеличения расстояния между рабочими местами для передвижения инвалидных колясок.</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(не ранее чем за 2 рабочих дня, но не позднее 16 часов 00 минут календарного дня, предшествующего экзамену) совместно с членом ГЭК и техническим специалистом проконтролировать:</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и программного обеспечения, необходимого для указанной категории участников, с учетом индивидуальных потребностей участников: специальные периферические устройства ввода (ножная мышь, роллер, джойсти</w:t>
      </w:r>
      <w:r>
        <w:rPr>
          <w:rFonts w:ascii="Tinos" w:hAnsi="Tinos" w:eastAsia="Tinos" w:cs="Tinos"/>
          <w:sz w:val="28"/>
          <w:szCs w:val="28"/>
          <w:highlight w:val="none"/>
          <w:lang w:val="ru-RU"/>
        </w:rPr>
        <w:t xml:space="preserve">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соответствие технических характеристик станции (станций) КЕГЭ требованиям настоящ</w:t>
      </w:r>
      <w:r>
        <w:rPr>
          <w:rFonts w:ascii="Tinos" w:hAnsi="Tinos" w:eastAsia="Tinos" w:cs="Tinos"/>
          <w:sz w:val="28"/>
          <w:szCs w:val="28"/>
          <w:highlight w:val="none"/>
          <w:lang w:val="ru-RU"/>
        </w:rPr>
        <w:t xml:space="preserve">ей</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Инструкции</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станции (станций) КЕГЭ, установленной в режиме для участников с ОВЗ (расширенные настройки) при наличии соответствующих рекомендаций ПМПК к настройке компьютера (ноутбука);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Проведение ЕГЭ в ППЭ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на входе в ППЭ осуществляет </w:t>
      </w:r>
      <w:r>
        <w:rPr>
          <w:rFonts w:ascii="Tinos" w:hAnsi="Tinos" w:eastAsia="Tinos" w:cs="Tinos"/>
          <w:sz w:val="28"/>
          <w:szCs w:val="28"/>
          <w:highlight w:val="none"/>
          <w:lang w:val="ru-RU"/>
        </w:rPr>
        <w:t xml:space="preserve">контроль за</w:t>
      </w:r>
      <w:r>
        <w:rPr>
          <w:rFonts w:ascii="Tinos" w:hAnsi="Tinos" w:eastAsia="Tinos" w:cs="Tinos"/>
          <w:sz w:val="28"/>
          <w:szCs w:val="28"/>
          <w:highlight w:val="none"/>
          <w:lang w:val="ru-RU"/>
        </w:rPr>
        <w:t xml:space="preserve"> проверкой документов, удостоверяющих личность ассистентов.</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45 минут до начала экзамена</w:t>
      </w:r>
      <w:r>
        <w:rPr>
          <w:rFonts w:ascii="Tinos" w:hAnsi="Tinos" w:eastAsia="Tinos" w:cs="Tinos"/>
          <w:sz w:val="28"/>
          <w:szCs w:val="28"/>
          <w:highlight w:val="none"/>
          <w:lang w:val="ru-RU"/>
        </w:rPr>
        <w:t xml:space="preserve"> руководитель ППЭ выдает организаторам в аудитории: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стандартные формы;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из расчета по 10 листов для письма по системе Брайля на каждого участника экзамена (для слепых и слабовидящих участников экзамена, использующих рельефно-точечный шрифт Брайля);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КЕГЭ по одному комплекту на каждого участника экзамена (за исключением слепых и слабовидящих участников экзамена, использующих рельефно</w:t>
      </w:r>
      <w:r>
        <w:rPr>
          <w:rFonts w:ascii="Tinos" w:hAnsi="Tinos" w:eastAsia="Tinos" w:cs="Tinos"/>
          <w:sz w:val="28"/>
          <w:szCs w:val="28"/>
          <w:highlight w:val="none"/>
          <w:lang w:val="ru-RU"/>
        </w:rPr>
        <w:t xml:space="preserve">-</w:t>
      </w:r>
      <w:r>
        <w:rPr>
          <w:rFonts w:ascii="Tinos" w:hAnsi="Tinos" w:eastAsia="Tinos" w:cs="Tinos"/>
          <w:sz w:val="28"/>
          <w:szCs w:val="28"/>
          <w:highlight w:val="none"/>
          <w:lang w:val="ru-RU"/>
        </w:rPr>
        <w:t xml:space="preserve">точечный шрифт Брайля, а также слабовидящих участников КЕГЭ и участников КЕГЭ с нарушениями опорно-двигательного аппарата, если они нуждаются в масштабированных материалах);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масштабированный черновик КЕГЭ (для слабовидящих участников КЕГЭ и участников КЕГЭ с нарушениями опорно-двигательного аппарата, если они нуждаются в масштабированных материалах);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 (за исключением слабовидящих участников КЕГЭ);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масштабированные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 (для слабовидящих участников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т</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для соответствующего компьютера (за исключением слабовидящих участников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масштабированное</w:t>
      </w:r>
      <w:r>
        <w:rPr>
          <w:rFonts w:ascii="Tinos" w:hAnsi="Tinos" w:eastAsia="Tinos" w:cs="Tinos"/>
          <w:sz w:val="28"/>
          <w:szCs w:val="28"/>
          <w:highlight w:val="none"/>
          <w:lang w:val="ru-RU"/>
        </w:rPr>
        <w:t xml:space="preserve"> 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для соответствующего компьютера (для слабовидящих участников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«Обычные» черновики (выдаются по запросу участника, если недостаточно черновика КЕГЭ).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15 минут</w:t>
      </w:r>
      <w:r>
        <w:rPr>
          <w:rFonts w:ascii="Tinos" w:hAnsi="Tinos" w:eastAsia="Tinos" w:cs="Tinos"/>
          <w:sz w:val="28"/>
          <w:szCs w:val="28"/>
          <w:highlight w:val="none"/>
          <w:lang w:val="ru-RU"/>
        </w:rPr>
        <w:t xml:space="preserve"> до начала экзамена руководитель ППЭ выдает организаторам в аудитории доставочные </w:t>
      </w:r>
      <w:r>
        <w:rPr>
          <w:rFonts w:ascii="Tinos" w:hAnsi="Tinos" w:eastAsia="Tinos" w:cs="Tinos"/>
          <w:sz w:val="28"/>
          <w:szCs w:val="28"/>
          <w:highlight w:val="none"/>
          <w:lang w:val="ru-RU"/>
        </w:rPr>
        <w:t xml:space="preserve">спецпакеты</w:t>
      </w:r>
      <w:r>
        <w:rPr>
          <w:rFonts w:ascii="Tinos" w:hAnsi="Tinos" w:eastAsia="Tinos" w:cs="Tinos"/>
          <w:sz w:val="28"/>
          <w:szCs w:val="28"/>
          <w:highlight w:val="none"/>
          <w:lang w:val="ru-RU"/>
        </w:rPr>
        <w:t xml:space="preserve"> с ИК, содержащие в себе задания к КИМ, напечатанные шрифтом Брайля (рельефно-точечный шрифт), и бланк регистрации (для слепых и слабовидящих участников экзамена, использующих шрифт Брайля</w:t>
      </w:r>
      <w:r>
        <w:rPr>
          <w:rFonts w:ascii="Tinos" w:hAnsi="Tinos" w:eastAsia="Tinos" w:cs="Tinos"/>
          <w:i/>
          <w:sz w:val="28"/>
          <w:szCs w:val="28"/>
          <w:highlight w:val="none"/>
          <w:lang w:val="ru-RU"/>
        </w:rPr>
        <w:t xml:space="preserve">)</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Этап завершения ЕГЭ в ППЭ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Руководитель ППЭ в присутствии члена ГЭК после окончания экзамена обязан получить:</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Из аудитории для слепых и слабовидящих участников экзамена, использующих рельефно-точечный шрифт Брайля: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с бланками регистрации;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w:t>
      </w:r>
      <w:r>
        <w:rPr>
          <w:rFonts w:ascii="Tinos" w:hAnsi="Tinos" w:eastAsia="Tinos" w:cs="Tinos"/>
          <w:sz w:val="28"/>
          <w:szCs w:val="28"/>
          <w:highlight w:val="none"/>
          <w:lang w:val="ru-RU"/>
        </w:rPr>
        <w:t xml:space="preserve">апечатанные в конверты тексты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в конверты использованные </w:t>
      </w: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и черновики для записей рельефно-точечным шрифтом Брайля, представленные в виде тетради в конверты использованные листы бумаги для черновиков;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неиспользованные </w:t>
      </w: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для письма по системе Брайля.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Вскрывает </w:t>
      </w:r>
      <w:r>
        <w:rPr>
          <w:rFonts w:ascii="Tinos" w:hAnsi="Tinos" w:eastAsia="Tinos" w:cs="Tinos"/>
          <w:sz w:val="28"/>
          <w:szCs w:val="28"/>
          <w:highlight w:val="none"/>
          <w:lang w:val="ru-RU"/>
        </w:rPr>
        <w:t xml:space="preserve">конве</w:t>
      </w:r>
      <w:r>
        <w:rPr>
          <w:rFonts w:ascii="Tinos" w:hAnsi="Tinos" w:eastAsia="Tinos" w:cs="Tinos"/>
          <w:sz w:val="28"/>
          <w:szCs w:val="28"/>
          <w:highlight w:val="none"/>
          <w:lang w:val="ru-RU"/>
        </w:rPr>
        <w:t xml:space="preserve">рт</w:t>
      </w:r>
      <w:r>
        <w:rPr>
          <w:rFonts w:ascii="Tinos" w:hAnsi="Tinos" w:eastAsia="Tinos" w:cs="Tinos"/>
          <w:sz w:val="28"/>
          <w:szCs w:val="28"/>
          <w:highlight w:val="none"/>
          <w:lang w:val="ru-RU"/>
        </w:rPr>
        <w:t xml:space="preserve"> с бл</w:t>
      </w:r>
      <w:r>
        <w:rPr>
          <w:rFonts w:ascii="Tinos" w:hAnsi="Tinos" w:eastAsia="Tinos" w:cs="Tinos"/>
          <w:sz w:val="28"/>
          <w:szCs w:val="28"/>
          <w:highlight w:val="none"/>
          <w:lang w:val="ru-RU"/>
        </w:rPr>
        <w:t xml:space="preserve">анками регистрации и передаёт техническому специалисту для сканирования в Штабе ППЭ, далее переупаковывает бланки регистрации в новый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Из аудитории для слабовидящих участников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w:t>
      </w:r>
      <w:r>
        <w:rPr>
          <w:rFonts w:ascii="Tinos" w:hAnsi="Tinos" w:eastAsia="Tinos" w:cs="Tinos"/>
          <w:sz w:val="28"/>
          <w:szCs w:val="28"/>
          <w:highlight w:val="none"/>
          <w:lang w:val="ru-RU"/>
        </w:rPr>
        <w:t xml:space="preserve">конверты</w:t>
      </w:r>
      <w:r>
        <w:rPr>
          <w:rFonts w:ascii="Tinos" w:hAnsi="Tinos" w:eastAsia="Tinos" w:cs="Tinos"/>
          <w:sz w:val="28"/>
          <w:szCs w:val="28"/>
          <w:highlight w:val="none"/>
          <w:lang w:val="ru-RU"/>
        </w:rPr>
        <w:t xml:space="preserve"> с бланками регистрации (масштабированными – в конверте формата А3; стандартными –</w:t>
      </w:r>
      <w:r>
        <w:rPr>
          <w:rFonts w:ascii="Tinos" w:hAnsi="Tinos" w:eastAsia="Tinos" w:cs="Tinos"/>
          <w:sz w:val="28"/>
          <w:szCs w:val="28"/>
          <w:highlight w:val="none"/>
          <w:lang w:val="ru-RU"/>
        </w:rPr>
        <w:t xml:space="preserve"> в стандартном конверте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запечатанные в конверты использованные черновики КЕГЭ и </w:t>
      </w: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(при наличии).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На сопроводительных бланках доставочных пакетов с указанными материалами должна быть заполнена информация о регионе, ППЭ, аудитории, предмете, количестве бланков регистрации в пакете, ответственном организаторе по аудитории.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случае </w:t>
      </w:r>
      <w:r>
        <w:rPr>
          <w:rFonts w:ascii="Tinos" w:hAnsi="Tinos" w:eastAsia="Tinos" w:cs="Tinos"/>
          <w:sz w:val="28"/>
          <w:szCs w:val="28"/>
          <w:highlight w:val="none"/>
          <w:lang w:val="ru-RU"/>
        </w:rPr>
        <w:t xml:space="preserve">проведения экзамена в специальной аудитории ППЭ по окончании экзамена руководитель ППЭ передает члену ГЭК материалы из специальной аудитории отдельно от материалов, сданных из остальных аудиторий ППЭ по окончании экзамена для основной части участников экза</w:t>
      </w:r>
      <w:r>
        <w:rPr>
          <w:rFonts w:ascii="Tinos" w:hAnsi="Tinos" w:eastAsia="Tinos" w:cs="Tinos"/>
          <w:sz w:val="28"/>
          <w:szCs w:val="28"/>
          <w:highlight w:val="none"/>
          <w:lang w:val="ru-RU"/>
        </w:rPr>
        <w:t xml:space="preserve">мена. При проведении в ППЭ сканирования бланков регистрации (в аудитории) и форм ППЭ (в Штабе ППЭ) данные материалы из специальной аудитории могут быть отсканированы и переданы в РЦОИ отдельным пакетом. Хранение и передача ЭМ осуществляется в общем порядке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Памятка для члена ГЭК при проведении КЕГЭ для лиц с ОВЗ, детей-инвалидов и инвалидов. </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Член ГЭК обеспечивает доставку экзаменационных материалов, контроль технической готовности ППЭ, а также проведение и завершение экзамена в соответствии с инструкцией для члена ГЭК, с учетом особенностей, 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Для слепых и слабовидящих участников экзамена, использующих рельефно-точечный шрифт Брайля:</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Для каждого участника указанной категории в ППЭ доставляются следующие ЭМ: </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бумажный бланк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тексты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 оформленные рельефно-точечным шрифтом Брайля;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для записей рельефно-точечным шрифтом Брайля, представленный в виде тетради.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Материалы доставляются по следующей схеме: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пакет (бумажны</w:t>
      </w:r>
      <w:r>
        <w:rPr>
          <w:rFonts w:ascii="Tinos" w:hAnsi="Tinos" w:eastAsia="Tinos" w:cs="Tinos"/>
          <w:sz w:val="28"/>
          <w:szCs w:val="28"/>
          <w:highlight w:val="none"/>
          <w:lang w:val="ru-RU"/>
        </w:rPr>
        <w:t xml:space="preserve">й бланк регистрации, тексты заданий к КИМ, оформленные рельефно-точечным шрифтом Брайля, черновик для записей рельефно-точечным шрифтом Брайля, представленный в виде тетради) выдаётся со склада Управления специальной связи по Вологодской области члену ГЭК </w:t>
      </w:r>
      <w:r>
        <w:rPr>
          <w:rFonts w:ascii="Tinos" w:hAnsi="Tinos" w:eastAsia="Tinos" w:cs="Tinos"/>
          <w:sz w:val="28"/>
          <w:szCs w:val="28"/>
          <w:highlight w:val="none"/>
          <w:lang w:val="ru-RU"/>
        </w:rPr>
        <w:t xml:space="preserve">пр</w:t>
      </w:r>
      <w:r>
        <w:rPr>
          <w:rFonts w:ascii="Tinos" w:hAnsi="Tinos" w:eastAsia="Tinos" w:cs="Tinos"/>
          <w:sz w:val="28"/>
          <w:szCs w:val="28"/>
          <w:highlight w:val="none"/>
          <w:lang w:val="ru-RU"/>
        </w:rPr>
        <w:t xml:space="preserve"> предъявлении документа, удостоверяющего личность, </w:t>
      </w:r>
      <w:r>
        <w:rPr>
          <w:rFonts w:ascii="Tinos" w:hAnsi="Tinos" w:eastAsia="Tinos" w:cs="Tinos"/>
          <w:sz w:val="28"/>
          <w:szCs w:val="28"/>
          <w:highlight w:val="none"/>
          <w:lang w:val="ru-RU"/>
        </w:rPr>
        <w:t xml:space="preserve">в </w:t>
      </w:r>
      <w:r>
        <w:rPr>
          <w:rFonts w:ascii="Tinos" w:hAnsi="Tinos" w:eastAsia="Tinos" w:cs="Tinos"/>
          <w:sz w:val="28"/>
          <w:szCs w:val="28"/>
          <w:highlight w:val="none"/>
          <w:lang w:val="ru-RU"/>
        </w:rPr>
        <w:t xml:space="preserve">день проведения КЕГЭ не ранее 0 часов 00 минут</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color w:val="auto"/>
          <w:sz w:val="28"/>
          <w:szCs w:val="28"/>
          <w:highlight w:val="none"/>
        </w:rPr>
      </w:pPr>
      <w:r>
        <w:rPr>
          <w:rFonts w:ascii="Tinos" w:hAnsi="Tinos" w:eastAsia="Tinos" w:cs="Tinos"/>
          <w:sz w:val="28"/>
          <w:szCs w:val="28"/>
          <w:highlight w:val="none"/>
          <w:lang w:val="ru-RU"/>
        </w:rPr>
        <w:t xml:space="preserve">На этапе </w:t>
      </w:r>
      <w:r>
        <w:rPr>
          <w:rFonts w:ascii="Tinos" w:hAnsi="Tinos" w:eastAsia="Tinos" w:cs="Tinos"/>
          <w:b/>
          <w:sz w:val="28"/>
          <w:szCs w:val="28"/>
          <w:highlight w:val="none"/>
          <w:lang w:val="ru-RU"/>
        </w:rPr>
        <w:t xml:space="preserve">контроля технической готовности</w:t>
      </w:r>
      <w:r>
        <w:rPr>
          <w:rFonts w:ascii="Tinos" w:hAnsi="Tinos" w:eastAsia="Tinos" w:cs="Tinos"/>
          <w:sz w:val="28"/>
          <w:szCs w:val="28"/>
          <w:highlight w:val="none"/>
          <w:lang w:val="ru-RU"/>
        </w:rPr>
        <w:t xml:space="preserve"> </w:t>
      </w:r>
      <w:r>
        <w:rPr>
          <w:rFonts w:ascii="Tinos" w:hAnsi="Tinos" w:eastAsia="Tinos" w:cs="Tinos"/>
          <w:b/>
          <w:sz w:val="28"/>
          <w:szCs w:val="28"/>
          <w:highlight w:val="none"/>
          <w:lang w:val="ru-RU"/>
        </w:rPr>
        <w:t xml:space="preserve">(не ранее чем за 2 рабочих дня, но не позднее 16 часов 00 минут календарного дня, предшествующего экзамену</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член ГЭК совместно с руководителем ППЭ и техническим специалистом ППЭ должен </w:t>
      </w:r>
      <w:r>
        <w:rPr>
          <w:rFonts w:ascii="Tinos" w:hAnsi="Tinos" w:eastAsia="Tinos" w:cs="Tinos"/>
          <w:color w:val="auto"/>
          <w:sz w:val="28"/>
          <w:szCs w:val="28"/>
          <w:highlight w:val="none"/>
          <w:lang w:val="ru-RU"/>
        </w:rPr>
        <w:t xml:space="preserve">проконтролировать:</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специализированного оборудования и программного обеспечения, необходимого для указанной категории участников:</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наушники (</w:t>
      </w:r>
      <w:r>
        <w:rPr>
          <w:rFonts w:ascii="Tinos" w:hAnsi="Tinos" w:eastAsia="Tinos" w:cs="Tinos"/>
          <w:sz w:val="28"/>
          <w:szCs w:val="28"/>
          <w:highlight w:val="none"/>
          <w:lang w:val="ru-RU"/>
        </w:rPr>
        <w:t xml:space="preserve">аудиогарнитуру</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портативный тактильный дисплей Брайля типа </w:t>
      </w:r>
      <w:r>
        <w:rPr>
          <w:rFonts w:ascii="Tinos" w:hAnsi="Tinos" w:eastAsia="Tinos" w:cs="Tinos"/>
          <w:sz w:val="28"/>
          <w:szCs w:val="28"/>
          <w:highlight w:val="none"/>
          <w:lang w:val="ru-RU"/>
        </w:rPr>
        <w:t xml:space="preserve">Focus</w:t>
      </w:r>
      <w:r>
        <w:rPr>
          <w:rFonts w:ascii="Tinos" w:hAnsi="Tinos" w:eastAsia="Tinos" w:cs="Tinos"/>
          <w:sz w:val="28"/>
          <w:szCs w:val="28"/>
          <w:highlight w:val="none"/>
          <w:lang w:val="ru-RU"/>
        </w:rPr>
        <w:t xml:space="preserve"> 40 </w:t>
      </w:r>
      <w:r>
        <w:rPr>
          <w:rFonts w:ascii="Tinos" w:hAnsi="Tinos" w:eastAsia="Tinos" w:cs="Tinos"/>
          <w:sz w:val="28"/>
          <w:szCs w:val="28"/>
          <w:highlight w:val="none"/>
          <w:lang w:val="ru-RU"/>
        </w:rPr>
        <w:t xml:space="preserve">Blue</w:t>
      </w:r>
      <w:r>
        <w:rPr>
          <w:rFonts w:ascii="Tinos" w:hAnsi="Tinos" w:eastAsia="Tinos" w:cs="Tinos"/>
          <w:sz w:val="28"/>
          <w:szCs w:val="28"/>
          <w:highlight w:val="none"/>
          <w:lang w:val="ru-RU"/>
        </w:rPr>
        <w:t xml:space="preserve"> или его аналог;</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color w:val="auto"/>
          <w:sz w:val="28"/>
          <w:szCs w:val="28"/>
          <w:highlight w:val="none"/>
        </w:rPr>
      </w:pPr>
      <w:r>
        <w:rPr>
          <w:rFonts w:ascii="Tinos" w:hAnsi="Tinos" w:eastAsia="Tinos" w:cs="Tinos"/>
          <w:sz w:val="28"/>
          <w:szCs w:val="28"/>
          <w:highlight w:val="none"/>
          <w:lang w:val="ru-RU"/>
        </w:rPr>
        <w:t xml:space="preserve">программа</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экранного доступа</w:t>
      </w:r>
      <w:r>
        <w:rPr>
          <w:rFonts w:ascii="Tinos" w:hAnsi="Tinos" w:eastAsia="Tinos" w:cs="Tinos"/>
          <w:color w:val="auto"/>
          <w:spacing w:val="-4"/>
          <w:sz w:val="28"/>
          <w:szCs w:val="28"/>
          <w:highlight w:val="none"/>
          <w:lang w:val="ru-RU"/>
        </w:rPr>
        <w:t xml:space="preserve"> </w:t>
      </w:r>
      <w:r>
        <w:rPr>
          <w:rFonts w:ascii="Tinos" w:hAnsi="Tinos" w:eastAsia="Tinos" w:cs="Tinos"/>
          <w:color w:val="auto"/>
          <w:sz w:val="28"/>
          <w:szCs w:val="28"/>
          <w:highlight w:val="none"/>
          <w:lang w:val="ru-RU"/>
        </w:rPr>
        <w:t xml:space="preserve">или</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программа</w:t>
      </w:r>
      <w:r>
        <w:rPr>
          <w:rFonts w:ascii="Tinos" w:hAnsi="Tinos" w:eastAsia="Tinos" w:cs="Tinos"/>
          <w:color w:val="auto"/>
          <w:spacing w:val="-4"/>
          <w:sz w:val="28"/>
          <w:szCs w:val="28"/>
          <w:highlight w:val="none"/>
          <w:lang w:val="ru-RU"/>
        </w:rPr>
        <w:t xml:space="preserve"> </w:t>
      </w:r>
      <w:r>
        <w:rPr>
          <w:rFonts w:ascii="Tinos" w:hAnsi="Tinos" w:eastAsia="Tinos" w:cs="Tinos"/>
          <w:color w:val="auto"/>
          <w:sz w:val="28"/>
          <w:szCs w:val="28"/>
          <w:highlight w:val="none"/>
          <w:lang w:val="ru-RU"/>
        </w:rPr>
        <w:t xml:space="preserve">экранного</w:t>
      </w:r>
      <w:r>
        <w:rPr>
          <w:rFonts w:ascii="Tinos" w:hAnsi="Tinos" w:eastAsia="Tinos" w:cs="Tinos"/>
          <w:color w:val="auto"/>
          <w:spacing w:val="-4"/>
          <w:sz w:val="28"/>
          <w:szCs w:val="28"/>
          <w:highlight w:val="none"/>
          <w:lang w:val="ru-RU"/>
        </w:rPr>
        <w:t xml:space="preserve"> </w:t>
      </w:r>
      <w:r>
        <w:rPr>
          <w:rFonts w:ascii="Tinos" w:hAnsi="Tinos" w:eastAsia="Tinos" w:cs="Tinos"/>
          <w:color w:val="auto"/>
          <w:sz w:val="28"/>
          <w:szCs w:val="28"/>
          <w:highlight w:val="none"/>
          <w:lang w:val="ru-RU"/>
        </w:rPr>
        <w:t xml:space="preserve">доступа</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увеличения;</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соответствие технических характеристик станции (станций) КЕГЭ требованиям настоящей Инструкции;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наличие станции (станций) КЕГЭ, установленной в режиме для участников с ОВЗ (расширенные настройки);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возможность работы с тестовым КИМ, в том числе взаимодействие установленной программы экранного диктора (программы экранного доступа и увеличения) со станцией КЕГЭ в части озвучивания и увеличения элементов интерфейса участника экзамена.</w:t>
      </w:r>
      <w:r>
        <w:rPr>
          <w:rFonts w:ascii="Tinos" w:hAnsi="Tinos" w:cs="Tinos"/>
          <w:sz w:val="28"/>
          <w:szCs w:val="28"/>
          <w:highlight w:val="none"/>
        </w:rPr>
      </w:r>
      <w:r>
        <w:rPr>
          <w:rFonts w:ascii="Tinos" w:hAnsi="Tinos" w:cs="Tinos"/>
          <w:sz w:val="28"/>
          <w:szCs w:val="28"/>
          <w:highlight w:val="none"/>
        </w:rPr>
      </w:r>
    </w:p>
    <w:p>
      <w:pPr>
        <w:ind w:right="-1" w:firstLine="709"/>
        <w:spacing w:before="0" w:beforeAutospacing="0" w:after="0" w:afterAutospacing="0" w:line="295" w:lineRule="exact"/>
        <w:widowControl w:val="off"/>
        <w:rPr>
          <w:rFonts w:ascii="Tinos" w:hAnsi="Tinos" w:cs="Tinos"/>
          <w:b/>
          <w:bCs/>
          <w:color w:val="auto"/>
          <w:sz w:val="28"/>
          <w:szCs w:val="28"/>
          <w:highlight w:val="none"/>
        </w:rPr>
        <w:outlineLvl w:val="2"/>
      </w:pPr>
      <w:r>
        <w:rPr>
          <w:rFonts w:ascii="Tinos" w:hAnsi="Tinos" w:eastAsia="Tinos" w:cs="Tinos"/>
          <w:b/>
          <w:bCs/>
          <w:color w:val="auto"/>
          <w:sz w:val="28"/>
          <w:szCs w:val="28"/>
          <w:highlight w:val="none"/>
          <w:lang w:val="ru-RU"/>
        </w:rPr>
        <w:t xml:space="preserve">Для</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слабовидящих</w:t>
      </w:r>
      <w:r>
        <w:rPr>
          <w:rFonts w:ascii="Tinos" w:hAnsi="Tinos" w:eastAsia="Tinos" w:cs="Tinos"/>
          <w:b/>
          <w:bCs/>
          <w:color w:val="auto"/>
          <w:spacing w:val="-2"/>
          <w:sz w:val="28"/>
          <w:szCs w:val="28"/>
          <w:highlight w:val="none"/>
          <w:lang w:val="ru-RU"/>
        </w:rPr>
        <w:t xml:space="preserve"> </w:t>
      </w:r>
      <w:r>
        <w:rPr>
          <w:rFonts w:ascii="Tinos" w:hAnsi="Tinos" w:eastAsia="Tinos" w:cs="Tinos"/>
          <w:b/>
          <w:bCs/>
          <w:color w:val="auto"/>
          <w:sz w:val="28"/>
          <w:szCs w:val="28"/>
          <w:highlight w:val="none"/>
          <w:lang w:val="ru-RU"/>
        </w:rPr>
        <w:t xml:space="preserve">участников</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экзамена:</w:t>
      </w:r>
      <w:r>
        <w:rPr>
          <w:rFonts w:ascii="Tinos" w:hAnsi="Tinos" w:cs="Tinos"/>
          <w:b/>
          <w:bCs/>
          <w:color w:val="auto"/>
          <w:sz w:val="28"/>
          <w:szCs w:val="28"/>
          <w:highlight w:val="none"/>
        </w:rPr>
      </w:r>
      <w:r>
        <w:rPr>
          <w:rFonts w:ascii="Tinos" w:hAnsi="Tinos" w:cs="Tinos"/>
          <w:b/>
          <w:bCs/>
          <w:color w:val="auto"/>
          <w:sz w:val="28"/>
          <w:szCs w:val="28"/>
          <w:highlight w:val="none"/>
        </w:rPr>
      </w:r>
    </w:p>
    <w:p>
      <w:pPr>
        <w:ind w:right="-1"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 этапе </w:t>
      </w:r>
      <w:r>
        <w:rPr>
          <w:rFonts w:ascii="Tinos" w:hAnsi="Tinos" w:eastAsia="Tinos" w:cs="Tinos"/>
          <w:b/>
          <w:color w:val="auto"/>
          <w:sz w:val="28"/>
          <w:szCs w:val="28"/>
          <w:highlight w:val="none"/>
          <w:lang w:val="ru-RU"/>
        </w:rPr>
        <w:t xml:space="preserve">контроля технической готовности (не ранее чем за 2 рабочих дня, но не</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позднее 16 часов 00 минут </w:t>
      </w:r>
      <w:r>
        <w:rPr>
          <w:rFonts w:ascii="Tinos" w:hAnsi="Tinos" w:eastAsia="Tinos" w:cs="Tinos"/>
          <w:color w:val="auto"/>
          <w:sz w:val="28"/>
          <w:szCs w:val="28"/>
          <w:highlight w:val="none"/>
          <w:lang w:val="ru-RU"/>
        </w:rPr>
        <w:t xml:space="preserve">календарного дня, предшествующего экзамену) член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ГЭК</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совместно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руководителем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техническим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специалистом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должен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проконтролировать:</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наличие</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специализированного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оборудования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программного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обеспечения,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необходимого</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для</w:t>
      </w:r>
      <w:r>
        <w:rPr>
          <w:rFonts w:ascii="Tinos" w:hAnsi="Tinos" w:eastAsia="Tinos" w:cs="Tinos"/>
          <w:color w:val="auto"/>
          <w:spacing w:val="4"/>
          <w:sz w:val="28"/>
          <w:szCs w:val="28"/>
          <w:highlight w:val="none"/>
          <w:lang w:val="ru-RU"/>
        </w:rPr>
        <w:t xml:space="preserve"> </w:t>
      </w:r>
      <w:r>
        <w:rPr>
          <w:rFonts w:ascii="Tinos" w:hAnsi="Tinos" w:eastAsia="Tinos" w:cs="Tinos"/>
          <w:color w:val="auto"/>
          <w:sz w:val="28"/>
          <w:szCs w:val="28"/>
          <w:highlight w:val="none"/>
          <w:lang w:val="ru-RU"/>
        </w:rPr>
        <w:t xml:space="preserve">указанной</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категории</w:t>
      </w:r>
      <w:r>
        <w:rPr>
          <w:rFonts w:ascii="Tinos" w:hAnsi="Tinos" w:eastAsia="Tinos" w:cs="Tinos"/>
          <w:color w:val="auto"/>
          <w:spacing w:val="4"/>
          <w:sz w:val="28"/>
          <w:szCs w:val="28"/>
          <w:highlight w:val="none"/>
          <w:lang w:val="ru-RU"/>
        </w:rPr>
        <w:t xml:space="preserve"> </w:t>
      </w:r>
      <w:r>
        <w:rPr>
          <w:rFonts w:ascii="Tinos" w:hAnsi="Tinos" w:eastAsia="Tinos" w:cs="Tinos"/>
          <w:color w:val="auto"/>
          <w:sz w:val="28"/>
          <w:szCs w:val="28"/>
          <w:highlight w:val="none"/>
          <w:lang w:val="ru-RU"/>
        </w:rPr>
        <w:t xml:space="preserve">участников:</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наушники (</w:t>
      </w:r>
      <w:r>
        <w:rPr>
          <w:rFonts w:ascii="Tinos" w:hAnsi="Tinos" w:eastAsia="Tinos" w:cs="Tinos"/>
          <w:sz w:val="28"/>
          <w:szCs w:val="28"/>
          <w:highlight w:val="none"/>
          <w:lang w:val="ru-RU"/>
        </w:rPr>
        <w:t xml:space="preserve">аудиогарнитура</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электронное увеличивающее устройство (при наличии);</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программа экранного увеличения или программа экранного доступа и увеличения;</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соответствие технических характеристик станции (станций) КЕГЭ требованиям настоящей Инструкции;</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наличие станции (станций) КЕГЭ, установленной в режиме для участников с ОВЗ (расширенные настройки);</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возможность работы с тестовым КИМ, в том числе взаимодействие установленной программы</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экранного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увеличения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(программы</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экранного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доступа</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увеличения)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w:t>
      </w:r>
      <w:r>
        <w:rPr>
          <w:rFonts w:ascii="Tinos" w:hAnsi="Tinos" w:eastAsia="Tinos" w:cs="Tinos"/>
          <w:color w:val="auto"/>
          <w:spacing w:val="1"/>
          <w:sz w:val="28"/>
          <w:szCs w:val="28"/>
          <w:highlight w:val="none"/>
          <w:lang w:val="ru-RU"/>
        </w:rPr>
        <w:t xml:space="preserve"> </w:t>
      </w:r>
      <w:r>
        <w:rPr>
          <w:rFonts w:ascii="Tinos" w:hAnsi="Tinos" w:eastAsia="Tinos" w:cs="Tinos"/>
          <w:color w:val="auto"/>
          <w:spacing w:val="1"/>
          <w:sz w:val="28"/>
          <w:szCs w:val="28"/>
          <w:highlight w:val="none"/>
          <w:lang w:val="ru-RU"/>
        </w:rPr>
        <w:t xml:space="preserve">ПО «</w:t>
      </w:r>
      <w:r>
        <w:rPr>
          <w:rFonts w:ascii="Tinos" w:hAnsi="Tinos" w:eastAsia="Tinos" w:cs="Tinos"/>
          <w:color w:val="auto"/>
          <w:sz w:val="28"/>
          <w:szCs w:val="28"/>
          <w:highlight w:val="none"/>
          <w:lang w:val="ru-RU"/>
        </w:rPr>
        <w:t xml:space="preserve">Станция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КЕГЭ</w:t>
      </w:r>
      <w:r>
        <w:rPr>
          <w:rFonts w:ascii="Tinos" w:hAnsi="Tinos" w:eastAsia="Tinos" w:cs="Tinos"/>
          <w:color w:val="auto"/>
          <w:sz w:val="28"/>
          <w:szCs w:val="28"/>
          <w:highlight w:val="none"/>
          <w:lang w:val="ru-RU"/>
        </w:rPr>
        <w:t xml:space="preserve">»</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в</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части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озвучивания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увеличения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элементов</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интерфейса</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участника</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экзамена.</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Дополнительно для слабовидящих участников экзамена, а также (при необходимости)</w:t>
      </w:r>
      <w:r>
        <w:rPr>
          <w:rFonts w:ascii="Tinos" w:hAnsi="Tinos" w:eastAsia="Tinos" w:cs="Tinos"/>
          <w:color w:val="auto"/>
          <w:spacing w:val="-62"/>
          <w:sz w:val="28"/>
          <w:szCs w:val="28"/>
          <w:highlight w:val="none"/>
          <w:lang w:val="ru-RU"/>
        </w:rPr>
        <w:t xml:space="preserve"> </w:t>
      </w:r>
      <w:r>
        <w:rPr>
          <w:rFonts w:ascii="Tinos" w:hAnsi="Tinos" w:eastAsia="Tinos" w:cs="Tinos"/>
          <w:color w:val="auto"/>
          <w:sz w:val="28"/>
          <w:szCs w:val="28"/>
          <w:highlight w:val="none"/>
          <w:lang w:val="ru-RU"/>
        </w:rPr>
        <w:t xml:space="preserve">участников экзамена с</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нарушениями опорно-двигательного</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аппарата</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подготавливаются:</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масштабированный черновик КЕГЭ;</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масштабированные инструкции по использованию </w:t>
      </w:r>
      <w:r>
        <w:rPr>
          <w:rFonts w:ascii="Tinos" w:hAnsi="Tinos" w:eastAsia="Tinos" w:cs="Tinos"/>
          <w:color w:val="auto"/>
          <w:sz w:val="28"/>
          <w:szCs w:val="28"/>
          <w:highlight w:val="none"/>
          <w:lang w:val="ru-RU"/>
        </w:rPr>
        <w:t xml:space="preserve">ПО</w:t>
      </w:r>
      <w:r>
        <w:rPr>
          <w:rFonts w:ascii="Tinos" w:hAnsi="Tinos" w:eastAsia="Tinos" w:cs="Tinos"/>
          <w:color w:val="auto"/>
          <w:sz w:val="28"/>
          <w:szCs w:val="28"/>
          <w:highlight w:val="none"/>
          <w:lang w:val="ru-RU"/>
        </w:rPr>
        <w:t xml:space="preserve"> </w:t>
      </w:r>
      <w:r>
        <w:rPr>
          <w:rFonts w:ascii="Tinos" w:hAnsi="Tinos" w:eastAsia="Tinos" w:cs="Tinos"/>
          <w:color w:val="auto"/>
          <w:sz w:val="28"/>
          <w:szCs w:val="28"/>
          <w:highlight w:val="none"/>
          <w:lang w:val="ru-RU"/>
        </w:rPr>
        <w:t xml:space="preserve">для</w:t>
      </w:r>
      <w:r>
        <w:rPr>
          <w:rFonts w:ascii="Tinos" w:hAnsi="Tinos" w:eastAsia="Tinos" w:cs="Tinos"/>
          <w:color w:val="auto"/>
          <w:sz w:val="28"/>
          <w:szCs w:val="28"/>
          <w:highlight w:val="none"/>
          <w:lang w:val="ru-RU"/>
        </w:rPr>
        <w:t xml:space="preserve"> сдачи КЕГЭ (на каждого участника экзамена);</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масштабированные приложения к паспорту </w:t>
      </w:r>
      <w:r>
        <w:rPr>
          <w:rFonts w:ascii="Tinos" w:hAnsi="Tinos" w:eastAsia="Tinos" w:cs="Tinos"/>
          <w:color w:val="auto"/>
          <w:sz w:val="28"/>
          <w:szCs w:val="28"/>
          <w:highlight w:val="none"/>
          <w:lang w:val="ru-RU"/>
        </w:rPr>
        <w:t xml:space="preserve">Станци</w:t>
      </w:r>
      <w:r>
        <w:rPr>
          <w:rFonts w:ascii="Tinos" w:hAnsi="Tinos" w:eastAsia="Tinos" w:cs="Tinos"/>
          <w:color w:val="auto"/>
          <w:sz w:val="28"/>
          <w:szCs w:val="28"/>
          <w:highlight w:val="none"/>
          <w:lang w:val="ru-RU"/>
        </w:rPr>
        <w:t xml:space="preserve">и</w:t>
      </w:r>
      <w:r>
        <w:rPr>
          <w:rFonts w:ascii="Tinos" w:hAnsi="Tinos" w:eastAsia="Tinos" w:cs="Tinos"/>
          <w:color w:val="auto"/>
          <w:sz w:val="28"/>
          <w:szCs w:val="28"/>
          <w:highlight w:val="none"/>
          <w:lang w:val="ru-RU"/>
        </w:rPr>
        <w:t xml:space="preserve"> КЕГЭ</w:t>
      </w:r>
      <w:r>
        <w:rPr>
          <w:rFonts w:ascii="Tinos" w:hAnsi="Tinos" w:eastAsia="Tinos" w:cs="Tinos"/>
          <w:color w:val="auto"/>
          <w:sz w:val="28"/>
          <w:szCs w:val="28"/>
          <w:highlight w:val="none"/>
          <w:lang w:val="ru-RU"/>
        </w:rPr>
        <w:t xml:space="preserve"> (на соответствующие компьютеры).</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b/>
          <w:color w:val="auto"/>
          <w:sz w:val="28"/>
          <w:szCs w:val="28"/>
          <w:highlight w:val="none"/>
          <w:lang w:val="ru-RU"/>
        </w:rPr>
        <w:t xml:space="preserve">На</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этапе</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проведения</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экзамена</w:t>
      </w:r>
      <w:r>
        <w:rPr>
          <w:rFonts w:ascii="Tinos" w:hAnsi="Tinos" w:eastAsia="Tinos" w:cs="Tinos"/>
          <w:b/>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член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ГЭК</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обязан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присутствовать</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масштабировании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напечатанных</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бланков</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регистрации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для</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слабовидящих</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участников</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экзамена</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в</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формат</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А3.</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b/>
          <w:bCs/>
          <w:color w:val="auto"/>
          <w:sz w:val="28"/>
          <w:szCs w:val="28"/>
          <w:highlight w:val="none"/>
        </w:rPr>
        <w:outlineLvl w:val="2"/>
      </w:pPr>
      <w:r>
        <w:rPr>
          <w:rFonts w:ascii="Tinos" w:hAnsi="Tinos" w:eastAsia="Tinos" w:cs="Tinos"/>
          <w:b/>
          <w:bCs/>
          <w:color w:val="auto"/>
          <w:sz w:val="28"/>
          <w:szCs w:val="28"/>
          <w:highlight w:val="none"/>
          <w:lang w:val="ru-RU"/>
        </w:rPr>
        <w:t xml:space="preserve">Для глухих, позднооглохших, </w:t>
      </w:r>
      <w:r>
        <w:rPr>
          <w:rFonts w:ascii="Tinos" w:hAnsi="Tinos" w:eastAsia="Tinos" w:cs="Tinos"/>
          <w:b/>
          <w:bCs/>
          <w:color w:val="auto"/>
          <w:sz w:val="28"/>
          <w:szCs w:val="28"/>
          <w:highlight w:val="none"/>
          <w:lang w:val="ru-RU"/>
        </w:rPr>
        <w:t xml:space="preserve">кохлеарно</w:t>
      </w:r>
      <w:r>
        <w:rPr>
          <w:rFonts w:ascii="Tinos" w:hAnsi="Tinos" w:eastAsia="Tinos" w:cs="Tinos"/>
          <w:b/>
          <w:bCs/>
          <w:color w:val="auto"/>
          <w:sz w:val="28"/>
          <w:szCs w:val="28"/>
          <w:highlight w:val="none"/>
          <w:lang w:val="ru-RU"/>
        </w:rPr>
        <w:t xml:space="preserve"> имплантированных и слабослышащих участников экзамена</w:t>
      </w:r>
      <w:r>
        <w:rPr>
          <w:rFonts w:ascii="Tinos" w:hAnsi="Tinos" w:eastAsia="Tinos" w:cs="Tinos"/>
          <w:b/>
          <w:bCs/>
          <w:color w:val="auto"/>
          <w:sz w:val="28"/>
          <w:szCs w:val="28"/>
          <w:highlight w:val="none"/>
          <w:lang w:val="ru-RU"/>
        </w:rPr>
        <w:t xml:space="preserve">:</w:t>
      </w:r>
      <w:r>
        <w:rPr>
          <w:rFonts w:ascii="Tinos" w:hAnsi="Tinos" w:cs="Tinos"/>
          <w:b/>
          <w:bCs/>
          <w:color w:val="auto"/>
          <w:sz w:val="28"/>
          <w:szCs w:val="28"/>
          <w:highlight w:val="none"/>
        </w:rPr>
      </w:r>
      <w:r>
        <w:rPr>
          <w:rFonts w:ascii="Tinos" w:hAnsi="Tinos" w:cs="Tinos"/>
          <w:b/>
          <w:bC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 этапе </w:t>
      </w:r>
      <w:r>
        <w:rPr>
          <w:rFonts w:ascii="Tinos" w:hAnsi="Tinos" w:eastAsia="Tinos" w:cs="Tinos"/>
          <w:b/>
          <w:color w:val="auto"/>
          <w:sz w:val="28"/>
          <w:szCs w:val="28"/>
          <w:highlight w:val="none"/>
          <w:lang w:val="ru-RU"/>
        </w:rPr>
        <w:t xml:space="preserve">контроля технической готовности (не ранее чем за 2 рабочих дня, но не</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позднее 16 часов 00 минут </w:t>
      </w:r>
      <w:r>
        <w:rPr>
          <w:rFonts w:ascii="Tinos" w:hAnsi="Tinos" w:eastAsia="Tinos" w:cs="Tinos"/>
          <w:color w:val="auto"/>
          <w:sz w:val="28"/>
          <w:szCs w:val="28"/>
          <w:highlight w:val="none"/>
          <w:lang w:val="ru-RU"/>
        </w:rPr>
        <w:t xml:space="preserve">календарного дня, предшествующего экзамену) член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ГЭК</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совместно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руководителем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техническим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специалистом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должен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проконтролировать</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наличие</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стандартных</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версий</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станции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(станций)</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КЕГЭ.</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b/>
          <w:color w:val="auto"/>
          <w:sz w:val="28"/>
          <w:szCs w:val="28"/>
          <w:highlight w:val="none"/>
          <w:lang w:val="ru-RU"/>
        </w:rPr>
        <w:t xml:space="preserve">На</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этапе</w:t>
      </w:r>
      <w:r>
        <w:rPr>
          <w:rFonts w:ascii="Tinos" w:hAnsi="Tinos" w:eastAsia="Tinos" w:cs="Tinos"/>
          <w:b/>
          <w:color w:val="auto"/>
          <w:spacing w:val="65"/>
          <w:sz w:val="28"/>
          <w:szCs w:val="28"/>
          <w:highlight w:val="none"/>
          <w:lang w:val="ru-RU"/>
        </w:rPr>
        <w:t xml:space="preserve"> </w:t>
      </w:r>
      <w:r>
        <w:rPr>
          <w:rFonts w:ascii="Tinos" w:hAnsi="Tinos" w:eastAsia="Tinos" w:cs="Tinos"/>
          <w:b/>
          <w:color w:val="auto"/>
          <w:sz w:val="28"/>
          <w:szCs w:val="28"/>
          <w:highlight w:val="none"/>
          <w:lang w:val="ru-RU"/>
        </w:rPr>
        <w:t xml:space="preserve">проведения</w:t>
      </w:r>
      <w:r>
        <w:rPr>
          <w:rFonts w:ascii="Tinos" w:hAnsi="Tinos" w:eastAsia="Tinos" w:cs="Tinos"/>
          <w:b/>
          <w:color w:val="auto"/>
          <w:spacing w:val="65"/>
          <w:sz w:val="28"/>
          <w:szCs w:val="28"/>
          <w:highlight w:val="none"/>
          <w:lang w:val="ru-RU"/>
        </w:rPr>
        <w:t xml:space="preserve"> </w:t>
      </w:r>
      <w:r>
        <w:rPr>
          <w:rFonts w:ascii="Tinos" w:hAnsi="Tinos" w:eastAsia="Tinos" w:cs="Tinos"/>
          <w:b/>
          <w:color w:val="auto"/>
          <w:sz w:val="28"/>
          <w:szCs w:val="28"/>
          <w:highlight w:val="none"/>
          <w:lang w:val="ru-RU"/>
        </w:rPr>
        <w:t xml:space="preserve">экзамена</w:t>
      </w:r>
      <w:r>
        <w:rPr>
          <w:rFonts w:ascii="Tinos" w:hAnsi="Tinos" w:eastAsia="Tinos" w:cs="Tinos"/>
          <w:b/>
          <w:color w:val="auto"/>
          <w:spacing w:val="65"/>
          <w:sz w:val="28"/>
          <w:szCs w:val="28"/>
          <w:highlight w:val="none"/>
          <w:lang w:val="ru-RU"/>
        </w:rPr>
        <w:t xml:space="preserve"> </w:t>
      </w:r>
      <w:r>
        <w:rPr>
          <w:rFonts w:ascii="Tinos" w:hAnsi="Tinos" w:eastAsia="Tinos" w:cs="Tinos"/>
          <w:color w:val="auto"/>
          <w:sz w:val="28"/>
          <w:szCs w:val="28"/>
          <w:highlight w:val="none"/>
          <w:lang w:val="ru-RU"/>
        </w:rPr>
        <w:t xml:space="preserve">член</w:t>
      </w:r>
      <w:r>
        <w:rPr>
          <w:rFonts w:ascii="Tinos" w:hAnsi="Tinos" w:eastAsia="Tinos" w:cs="Tinos"/>
          <w:color w:val="auto"/>
          <w:spacing w:val="65"/>
          <w:sz w:val="28"/>
          <w:szCs w:val="28"/>
          <w:highlight w:val="none"/>
          <w:lang w:val="ru-RU"/>
        </w:rPr>
        <w:t xml:space="preserve"> </w:t>
      </w:r>
      <w:r>
        <w:rPr>
          <w:rFonts w:ascii="Tinos" w:hAnsi="Tinos" w:eastAsia="Tinos" w:cs="Tinos"/>
          <w:color w:val="auto"/>
          <w:sz w:val="28"/>
          <w:szCs w:val="28"/>
          <w:highlight w:val="none"/>
          <w:lang w:val="ru-RU"/>
        </w:rPr>
        <w:t xml:space="preserve">ГЭК</w:t>
      </w:r>
      <w:r>
        <w:rPr>
          <w:rFonts w:ascii="Tinos" w:hAnsi="Tinos" w:eastAsia="Tinos" w:cs="Tinos"/>
          <w:color w:val="auto"/>
          <w:spacing w:val="65"/>
          <w:sz w:val="28"/>
          <w:szCs w:val="28"/>
          <w:highlight w:val="none"/>
          <w:lang w:val="ru-RU"/>
        </w:rPr>
        <w:t xml:space="preserve"> </w:t>
      </w:r>
      <w:r>
        <w:rPr>
          <w:rFonts w:ascii="Tinos" w:hAnsi="Tinos" w:eastAsia="Tinos" w:cs="Tinos"/>
          <w:color w:val="auto"/>
          <w:sz w:val="28"/>
          <w:szCs w:val="28"/>
          <w:highlight w:val="none"/>
          <w:lang w:val="ru-RU"/>
        </w:rPr>
        <w:t xml:space="preserve">обязан</w:t>
      </w:r>
      <w:r>
        <w:rPr>
          <w:rFonts w:ascii="Tinos" w:hAnsi="Tinos" w:eastAsia="Tinos" w:cs="Tinos"/>
          <w:color w:val="auto"/>
          <w:spacing w:val="65"/>
          <w:sz w:val="28"/>
          <w:szCs w:val="28"/>
          <w:highlight w:val="none"/>
          <w:lang w:val="ru-RU"/>
        </w:rPr>
        <w:t xml:space="preserve"> </w:t>
      </w:r>
      <w:r>
        <w:rPr>
          <w:rFonts w:ascii="Tinos" w:hAnsi="Tinos" w:eastAsia="Tinos" w:cs="Tinos"/>
          <w:color w:val="auto"/>
          <w:sz w:val="28"/>
          <w:szCs w:val="28"/>
          <w:highlight w:val="none"/>
          <w:lang w:val="ru-RU"/>
        </w:rPr>
        <w:t xml:space="preserve">присутствовать</w:t>
      </w:r>
      <w:r>
        <w:rPr>
          <w:rFonts w:ascii="Tinos" w:hAnsi="Tinos" w:eastAsia="Tinos" w:cs="Tinos"/>
          <w:color w:val="auto"/>
          <w:spacing w:val="65"/>
          <w:sz w:val="28"/>
          <w:szCs w:val="28"/>
          <w:highlight w:val="none"/>
          <w:lang w:val="ru-RU"/>
        </w:rPr>
        <w:t xml:space="preserve"> </w:t>
      </w:r>
      <w:r>
        <w:rPr>
          <w:rFonts w:ascii="Tinos" w:hAnsi="Tinos" w:eastAsia="Tinos" w:cs="Tinos"/>
          <w:color w:val="auto"/>
          <w:sz w:val="28"/>
          <w:szCs w:val="28"/>
          <w:highlight w:val="none"/>
          <w:lang w:val="ru-RU"/>
        </w:rPr>
        <w:t xml:space="preserve">при</w:t>
      </w:r>
      <w:r>
        <w:rPr>
          <w:rFonts w:ascii="Tinos" w:hAnsi="Tinos" w:eastAsia="Tinos" w:cs="Tinos"/>
          <w:color w:val="auto"/>
          <w:spacing w:val="65"/>
          <w:sz w:val="28"/>
          <w:szCs w:val="28"/>
          <w:highlight w:val="none"/>
          <w:lang w:val="ru-RU"/>
        </w:rPr>
        <w:t xml:space="preserve"> </w:t>
      </w:r>
      <w:r>
        <w:rPr>
          <w:rFonts w:ascii="Tinos" w:hAnsi="Tinos" w:eastAsia="Tinos" w:cs="Tinos"/>
          <w:color w:val="auto"/>
          <w:sz w:val="28"/>
          <w:szCs w:val="28"/>
          <w:highlight w:val="none"/>
          <w:lang w:val="ru-RU"/>
        </w:rPr>
        <w:t xml:space="preserve">настройке</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подготовке</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звукоусиливающей</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аппаратуры к</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работе.</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b/>
          <w:bCs/>
          <w:color w:val="auto"/>
          <w:sz w:val="28"/>
          <w:szCs w:val="28"/>
          <w:highlight w:val="none"/>
        </w:rPr>
        <w:outlineLvl w:val="2"/>
      </w:pPr>
      <w:r>
        <w:rPr>
          <w:rFonts w:ascii="Tinos" w:hAnsi="Tinos" w:eastAsia="Tinos" w:cs="Tinos"/>
          <w:b/>
          <w:bCs/>
          <w:color w:val="auto"/>
          <w:sz w:val="28"/>
          <w:szCs w:val="28"/>
          <w:highlight w:val="none"/>
          <w:lang w:val="ru-RU"/>
        </w:rPr>
        <w:t xml:space="preserve">Для</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участников</w:t>
      </w:r>
      <w:r>
        <w:rPr>
          <w:rFonts w:ascii="Tinos" w:hAnsi="Tinos" w:eastAsia="Tinos" w:cs="Tinos"/>
          <w:b/>
          <w:bCs/>
          <w:color w:val="auto"/>
          <w:spacing w:val="-4"/>
          <w:sz w:val="28"/>
          <w:szCs w:val="28"/>
          <w:highlight w:val="none"/>
          <w:lang w:val="ru-RU"/>
        </w:rPr>
        <w:t xml:space="preserve"> </w:t>
      </w:r>
      <w:r>
        <w:rPr>
          <w:rFonts w:ascii="Tinos" w:hAnsi="Tinos" w:eastAsia="Tinos" w:cs="Tinos"/>
          <w:b/>
          <w:bCs/>
          <w:color w:val="auto"/>
          <w:sz w:val="28"/>
          <w:szCs w:val="28"/>
          <w:highlight w:val="none"/>
          <w:lang w:val="ru-RU"/>
        </w:rPr>
        <w:t xml:space="preserve">экзамена</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с</w:t>
      </w:r>
      <w:r>
        <w:rPr>
          <w:rFonts w:ascii="Tinos" w:hAnsi="Tinos" w:eastAsia="Tinos" w:cs="Tinos"/>
          <w:b/>
          <w:bCs/>
          <w:color w:val="auto"/>
          <w:spacing w:val="-4"/>
          <w:sz w:val="28"/>
          <w:szCs w:val="28"/>
          <w:highlight w:val="none"/>
          <w:lang w:val="ru-RU"/>
        </w:rPr>
        <w:t xml:space="preserve"> </w:t>
      </w:r>
      <w:r>
        <w:rPr>
          <w:rFonts w:ascii="Tinos" w:hAnsi="Tinos" w:eastAsia="Tinos" w:cs="Tinos"/>
          <w:b/>
          <w:bCs/>
          <w:color w:val="auto"/>
          <w:sz w:val="28"/>
          <w:szCs w:val="28"/>
          <w:highlight w:val="none"/>
          <w:lang w:val="ru-RU"/>
        </w:rPr>
        <w:t xml:space="preserve">нарушениями</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опорно-двигательного</w:t>
      </w:r>
      <w:r>
        <w:rPr>
          <w:rFonts w:ascii="Tinos" w:hAnsi="Tinos" w:eastAsia="Tinos" w:cs="Tinos"/>
          <w:b/>
          <w:bCs/>
          <w:color w:val="auto"/>
          <w:spacing w:val="-4"/>
          <w:sz w:val="28"/>
          <w:szCs w:val="28"/>
          <w:highlight w:val="none"/>
          <w:lang w:val="ru-RU"/>
        </w:rPr>
        <w:t xml:space="preserve"> </w:t>
      </w:r>
      <w:r>
        <w:rPr>
          <w:rFonts w:ascii="Tinos" w:hAnsi="Tinos" w:eastAsia="Tinos" w:cs="Tinos"/>
          <w:b/>
          <w:bCs/>
          <w:color w:val="auto"/>
          <w:sz w:val="28"/>
          <w:szCs w:val="28"/>
          <w:highlight w:val="none"/>
          <w:lang w:val="ru-RU"/>
        </w:rPr>
        <w:t xml:space="preserve">аппарата:</w:t>
      </w:r>
      <w:r>
        <w:rPr>
          <w:rFonts w:ascii="Tinos" w:hAnsi="Tinos" w:cs="Tinos"/>
          <w:b/>
          <w:bCs/>
          <w:color w:val="auto"/>
          <w:sz w:val="28"/>
          <w:szCs w:val="28"/>
          <w:highlight w:val="none"/>
        </w:rPr>
      </w:r>
      <w:r>
        <w:rPr>
          <w:rFonts w:ascii="Tinos" w:hAnsi="Tinos" w:cs="Tinos"/>
          <w:b/>
          <w:bC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 этапе </w:t>
      </w:r>
      <w:r>
        <w:rPr>
          <w:rFonts w:ascii="Tinos" w:hAnsi="Tinos" w:eastAsia="Tinos" w:cs="Tinos"/>
          <w:b/>
          <w:color w:val="auto"/>
          <w:sz w:val="28"/>
          <w:szCs w:val="28"/>
          <w:highlight w:val="none"/>
          <w:lang w:val="ru-RU"/>
        </w:rPr>
        <w:t xml:space="preserve">контроля технической готовности (не ранее чем за 2 рабочих дня, но не</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позднее 16 часов 00 минут </w:t>
      </w:r>
      <w:r>
        <w:rPr>
          <w:rFonts w:ascii="Tinos" w:hAnsi="Tinos" w:eastAsia="Tinos" w:cs="Tinos"/>
          <w:color w:val="auto"/>
          <w:sz w:val="28"/>
          <w:szCs w:val="28"/>
          <w:highlight w:val="none"/>
          <w:lang w:val="ru-RU"/>
        </w:rPr>
        <w:t xml:space="preserve">календарного дня, предшествующего экзамену) член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ГЭК</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совместно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руководителем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техническим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специалистом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должен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проконтролировать:</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наличие специализированного оборудования, необходимого для указанной категории участников, с учетом индивидуальных потребностей участников: специальные периферические устройства ввода (ножная мышь, роллер, джойст</w:t>
      </w:r>
      <w:r>
        <w:rPr>
          <w:rFonts w:ascii="Tinos" w:hAnsi="Tinos" w:eastAsia="Tinos" w:cs="Tinos"/>
          <w:color w:val="auto"/>
          <w:sz w:val="28"/>
          <w:szCs w:val="28"/>
          <w:highlight w:val="none"/>
          <w:lang w:val="ru-RU"/>
        </w:rPr>
        <w:t xml:space="preserve">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r>
        <w:rPr>
          <w:rFonts w:ascii="Tinos" w:hAnsi="Tinos" w:eastAsia="Tinos" w:cs="Tinos"/>
          <w:color w:val="auto"/>
          <w:sz w:val="28"/>
          <w:szCs w:val="28"/>
          <w:highlight w:val="none"/>
          <w:lang w:val="ru-RU"/>
        </w:rPr>
        <w:t xml:space="preserve">;</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наличи</w:t>
      </w:r>
      <w:r>
        <w:rPr>
          <w:rFonts w:ascii="Tinos" w:hAnsi="Tinos" w:eastAsia="Tinos" w:cs="Tinos"/>
          <w:color w:val="auto"/>
          <w:sz w:val="28"/>
          <w:szCs w:val="28"/>
          <w:highlight w:val="none"/>
          <w:lang w:val="ru-RU"/>
        </w:rPr>
        <w:t xml:space="preserve">е станции (станций) КЕГЭ, установленной в режиме для участников с ОВЗ (расширенные настройки) при наличии соответствующих рекомендаций ПМПК к настройке компьютера (ноутбука), и стандартной станции (станций) КЕГЭ при отсутствии соответствующих рекомендаций;</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b/>
          <w:bCs/>
          <w:color w:val="auto"/>
          <w:sz w:val="28"/>
          <w:szCs w:val="28"/>
          <w:highlight w:val="none"/>
        </w:rPr>
        <w:outlineLvl w:val="2"/>
      </w:pPr>
      <w:r>
        <w:rPr>
          <w:rFonts w:ascii="Tinos" w:hAnsi="Tinos" w:eastAsia="Tinos" w:cs="Tinos"/>
          <w:b/>
          <w:bCs/>
          <w:color w:val="auto"/>
          <w:sz w:val="28"/>
          <w:szCs w:val="28"/>
          <w:highlight w:val="none"/>
          <w:lang w:val="ru-RU"/>
        </w:rPr>
        <w:t xml:space="preserve">Для</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прочих</w:t>
      </w:r>
      <w:r>
        <w:rPr>
          <w:rFonts w:ascii="Tinos" w:hAnsi="Tinos" w:eastAsia="Tinos" w:cs="Tinos"/>
          <w:b/>
          <w:bCs/>
          <w:color w:val="auto"/>
          <w:spacing w:val="-2"/>
          <w:sz w:val="28"/>
          <w:szCs w:val="28"/>
          <w:highlight w:val="none"/>
          <w:lang w:val="ru-RU"/>
        </w:rPr>
        <w:t xml:space="preserve"> </w:t>
      </w:r>
      <w:r>
        <w:rPr>
          <w:rFonts w:ascii="Tinos" w:hAnsi="Tinos" w:eastAsia="Tinos" w:cs="Tinos"/>
          <w:b/>
          <w:bCs/>
          <w:color w:val="auto"/>
          <w:sz w:val="28"/>
          <w:szCs w:val="28"/>
          <w:highlight w:val="none"/>
          <w:lang w:val="ru-RU"/>
        </w:rPr>
        <w:t xml:space="preserve">категорий</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участников</w:t>
      </w:r>
      <w:r>
        <w:rPr>
          <w:rFonts w:ascii="Tinos" w:hAnsi="Tinos" w:eastAsia="Tinos" w:cs="Tinos"/>
          <w:b/>
          <w:bCs/>
          <w:color w:val="auto"/>
          <w:spacing w:val="-5"/>
          <w:sz w:val="28"/>
          <w:szCs w:val="28"/>
          <w:highlight w:val="none"/>
          <w:lang w:val="ru-RU"/>
        </w:rPr>
        <w:t xml:space="preserve"> </w:t>
      </w:r>
      <w:r>
        <w:rPr>
          <w:rFonts w:ascii="Tinos" w:hAnsi="Tinos" w:eastAsia="Tinos" w:cs="Tinos"/>
          <w:b/>
          <w:bCs/>
          <w:color w:val="auto"/>
          <w:sz w:val="28"/>
          <w:szCs w:val="28"/>
          <w:highlight w:val="none"/>
          <w:lang w:val="ru-RU"/>
        </w:rPr>
        <w:t xml:space="preserve">экзамена:</w:t>
      </w:r>
      <w:r>
        <w:rPr>
          <w:rFonts w:ascii="Tinos" w:hAnsi="Tinos" w:cs="Tinos"/>
          <w:b/>
          <w:bCs/>
          <w:color w:val="auto"/>
          <w:sz w:val="28"/>
          <w:szCs w:val="28"/>
          <w:highlight w:val="none"/>
        </w:rPr>
      </w:r>
      <w:r>
        <w:rPr>
          <w:rFonts w:ascii="Tinos" w:hAnsi="Tinos" w:cs="Tinos"/>
          <w:b/>
          <w:bC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На этапе </w:t>
      </w:r>
      <w:r>
        <w:rPr>
          <w:rFonts w:ascii="Tinos" w:hAnsi="Tinos" w:eastAsia="Tinos" w:cs="Tinos"/>
          <w:b/>
          <w:color w:val="auto"/>
          <w:sz w:val="28"/>
          <w:szCs w:val="28"/>
          <w:highlight w:val="none"/>
          <w:lang w:val="ru-RU"/>
        </w:rPr>
        <w:t xml:space="preserve">контроля технической готовности (не ранее чем за 2 рабочих дня, но не</w:t>
      </w:r>
      <w:r>
        <w:rPr>
          <w:rFonts w:ascii="Tinos" w:hAnsi="Tinos" w:eastAsia="Tinos" w:cs="Tinos"/>
          <w:b/>
          <w:color w:val="auto"/>
          <w:spacing w:val="1"/>
          <w:sz w:val="28"/>
          <w:szCs w:val="28"/>
          <w:highlight w:val="none"/>
          <w:lang w:val="ru-RU"/>
        </w:rPr>
        <w:t xml:space="preserve"> </w:t>
      </w:r>
      <w:r>
        <w:rPr>
          <w:rFonts w:ascii="Tinos" w:hAnsi="Tinos" w:eastAsia="Tinos" w:cs="Tinos"/>
          <w:b/>
          <w:color w:val="auto"/>
          <w:sz w:val="28"/>
          <w:szCs w:val="28"/>
          <w:highlight w:val="none"/>
          <w:lang w:val="ru-RU"/>
        </w:rPr>
        <w:t xml:space="preserve">позднее 16 часов 00 минут </w:t>
      </w:r>
      <w:r>
        <w:rPr>
          <w:rFonts w:ascii="Tinos" w:hAnsi="Tinos" w:eastAsia="Tinos" w:cs="Tinos"/>
          <w:color w:val="auto"/>
          <w:sz w:val="28"/>
          <w:szCs w:val="28"/>
          <w:highlight w:val="none"/>
          <w:lang w:val="ru-RU"/>
        </w:rPr>
        <w:t xml:space="preserve">календарного дня, предшествующего экзамену) член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ГЭК</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совместно</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руководителем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техническим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специалистом</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ППЭ</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должен</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проконтролировать</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наличие</w:t>
      </w:r>
      <w:r>
        <w:rPr>
          <w:rFonts w:ascii="Tinos" w:hAnsi="Tinos" w:eastAsia="Tinos" w:cs="Tinos"/>
          <w:color w:val="auto"/>
          <w:spacing w:val="3"/>
          <w:sz w:val="28"/>
          <w:szCs w:val="28"/>
          <w:highlight w:val="none"/>
          <w:lang w:val="ru-RU"/>
        </w:rPr>
        <w:t xml:space="preserve"> </w:t>
      </w:r>
      <w:r>
        <w:rPr>
          <w:rFonts w:ascii="Tinos" w:hAnsi="Tinos" w:eastAsia="Tinos" w:cs="Tinos"/>
          <w:color w:val="auto"/>
          <w:sz w:val="28"/>
          <w:szCs w:val="28"/>
          <w:highlight w:val="none"/>
          <w:lang w:val="ru-RU"/>
        </w:rPr>
        <w:t xml:space="preserve">стандартной</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станции</w:t>
      </w:r>
      <w:r>
        <w:rPr>
          <w:rFonts w:ascii="Tinos" w:hAnsi="Tinos" w:eastAsia="Tinos" w:cs="Tinos"/>
          <w:color w:val="auto"/>
          <w:spacing w:val="-1"/>
          <w:sz w:val="28"/>
          <w:szCs w:val="28"/>
          <w:highlight w:val="none"/>
          <w:lang w:val="ru-RU"/>
        </w:rPr>
        <w:t xml:space="preserve"> </w:t>
      </w:r>
      <w:r>
        <w:rPr>
          <w:rFonts w:ascii="Tinos" w:hAnsi="Tinos" w:eastAsia="Tinos" w:cs="Tinos"/>
          <w:color w:val="auto"/>
          <w:sz w:val="28"/>
          <w:szCs w:val="28"/>
          <w:highlight w:val="none"/>
          <w:lang w:val="ru-RU"/>
        </w:rPr>
        <w:t xml:space="preserve">(станций)</w:t>
      </w:r>
      <w:r>
        <w:rPr>
          <w:rFonts w:ascii="Tinos" w:hAnsi="Tinos" w:eastAsia="Tinos" w:cs="Tinos"/>
          <w:color w:val="auto"/>
          <w:spacing w:val="-2"/>
          <w:sz w:val="28"/>
          <w:szCs w:val="28"/>
          <w:highlight w:val="none"/>
          <w:lang w:val="ru-RU"/>
        </w:rPr>
        <w:t xml:space="preserve"> </w:t>
      </w:r>
      <w:r>
        <w:rPr>
          <w:rFonts w:ascii="Tinos" w:hAnsi="Tinos" w:eastAsia="Tinos" w:cs="Tinos"/>
          <w:color w:val="auto"/>
          <w:sz w:val="28"/>
          <w:szCs w:val="28"/>
          <w:highlight w:val="none"/>
          <w:lang w:val="ru-RU"/>
        </w:rPr>
        <w:t xml:space="preserve">КЕГЭ.</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b/>
          <w:bCs/>
          <w:color w:val="auto"/>
          <w:sz w:val="28"/>
          <w:szCs w:val="28"/>
          <w:highlight w:val="none"/>
        </w:rPr>
        <w:outlineLvl w:val="2"/>
      </w:pPr>
      <w:r>
        <w:rPr>
          <w:rFonts w:ascii="Tinos" w:hAnsi="Tinos" w:eastAsia="Tinos" w:cs="Tinos"/>
          <w:b/>
          <w:bCs/>
          <w:color w:val="auto"/>
          <w:sz w:val="28"/>
          <w:szCs w:val="28"/>
          <w:highlight w:val="none"/>
          <w:lang w:val="ru-RU"/>
        </w:rPr>
        <w:t xml:space="preserve">Этап</w:t>
      </w:r>
      <w:r>
        <w:rPr>
          <w:rFonts w:ascii="Tinos" w:hAnsi="Tinos" w:eastAsia="Tinos" w:cs="Tinos"/>
          <w:b/>
          <w:bCs/>
          <w:color w:val="auto"/>
          <w:spacing w:val="-3"/>
          <w:sz w:val="28"/>
          <w:szCs w:val="28"/>
          <w:highlight w:val="none"/>
          <w:lang w:val="ru-RU"/>
        </w:rPr>
        <w:t xml:space="preserve"> </w:t>
      </w:r>
      <w:r>
        <w:rPr>
          <w:rFonts w:ascii="Tinos" w:hAnsi="Tinos" w:eastAsia="Tinos" w:cs="Tinos"/>
          <w:b/>
          <w:bCs/>
          <w:color w:val="auto"/>
          <w:sz w:val="28"/>
          <w:szCs w:val="28"/>
          <w:highlight w:val="none"/>
          <w:lang w:val="ru-RU"/>
        </w:rPr>
        <w:t xml:space="preserve">завершения</w:t>
      </w:r>
      <w:r>
        <w:rPr>
          <w:rFonts w:ascii="Tinos" w:hAnsi="Tinos" w:eastAsia="Tinos" w:cs="Tinos"/>
          <w:b/>
          <w:bCs/>
          <w:color w:val="auto"/>
          <w:spacing w:val="-4"/>
          <w:sz w:val="28"/>
          <w:szCs w:val="28"/>
          <w:highlight w:val="none"/>
          <w:lang w:val="ru-RU"/>
        </w:rPr>
        <w:t xml:space="preserve"> </w:t>
      </w:r>
      <w:r>
        <w:rPr>
          <w:rFonts w:ascii="Tinos" w:hAnsi="Tinos" w:eastAsia="Tinos" w:cs="Tinos"/>
          <w:b/>
          <w:bCs/>
          <w:color w:val="auto"/>
          <w:sz w:val="28"/>
          <w:szCs w:val="28"/>
          <w:highlight w:val="none"/>
          <w:lang w:val="ru-RU"/>
        </w:rPr>
        <w:t xml:space="preserve">ЕГЭ</w:t>
      </w:r>
      <w:r>
        <w:rPr>
          <w:rFonts w:ascii="Tinos" w:hAnsi="Tinos" w:eastAsia="Tinos" w:cs="Tinos"/>
          <w:b/>
          <w:bCs/>
          <w:color w:val="auto"/>
          <w:spacing w:val="-3"/>
          <w:sz w:val="28"/>
          <w:szCs w:val="28"/>
          <w:highlight w:val="none"/>
          <w:lang w:val="ru-RU"/>
        </w:rPr>
        <w:t xml:space="preserve"> </w:t>
      </w:r>
      <w:r>
        <w:rPr>
          <w:rFonts w:ascii="Tinos" w:hAnsi="Tinos" w:eastAsia="Tinos" w:cs="Tinos"/>
          <w:b/>
          <w:bCs/>
          <w:color w:val="auto"/>
          <w:sz w:val="28"/>
          <w:szCs w:val="28"/>
          <w:highlight w:val="none"/>
          <w:lang w:val="ru-RU"/>
        </w:rPr>
        <w:t xml:space="preserve">в</w:t>
      </w:r>
      <w:r>
        <w:rPr>
          <w:rFonts w:ascii="Tinos" w:hAnsi="Tinos" w:eastAsia="Tinos" w:cs="Tinos"/>
          <w:b/>
          <w:bCs/>
          <w:color w:val="auto"/>
          <w:spacing w:val="-1"/>
          <w:sz w:val="28"/>
          <w:szCs w:val="28"/>
          <w:highlight w:val="none"/>
          <w:lang w:val="ru-RU"/>
        </w:rPr>
        <w:t xml:space="preserve"> </w:t>
      </w:r>
      <w:r>
        <w:rPr>
          <w:rFonts w:ascii="Tinos" w:hAnsi="Tinos" w:eastAsia="Tinos" w:cs="Tinos"/>
          <w:b/>
          <w:bCs/>
          <w:color w:val="auto"/>
          <w:sz w:val="28"/>
          <w:szCs w:val="28"/>
          <w:highlight w:val="none"/>
          <w:lang w:val="ru-RU"/>
        </w:rPr>
        <w:t xml:space="preserve">ППЭ</w:t>
      </w:r>
      <w:r>
        <w:rPr>
          <w:rFonts w:ascii="Tinos" w:hAnsi="Tinos" w:cs="Tinos"/>
          <w:b/>
          <w:bCs/>
          <w:color w:val="auto"/>
          <w:sz w:val="28"/>
          <w:szCs w:val="28"/>
          <w:highlight w:val="none"/>
        </w:rPr>
      </w:r>
      <w:r>
        <w:rPr>
          <w:rFonts w:ascii="Tinos" w:hAnsi="Tinos" w:cs="Tinos"/>
          <w:b/>
          <w:bC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В случае использования увеличенных до формата А3 бланков реги</w:t>
      </w:r>
      <w:r>
        <w:rPr>
          <w:rFonts w:ascii="Tinos" w:hAnsi="Tinos" w:eastAsia="Tinos" w:cs="Tinos"/>
          <w:color w:val="auto"/>
          <w:sz w:val="28"/>
          <w:szCs w:val="28"/>
          <w:highlight w:val="none"/>
          <w:lang w:val="ru-RU"/>
        </w:rPr>
        <w:t xml:space="preserve">страции контролировать в аудитории, где проходил экзамен для слабовидящих, перенос ассистентами информации с увеличенных бланков регистрации на бланки стандартного размера (данное действие не включается в продолжительность экзамена для участника экзамена).</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color w:val="auto"/>
          <w:sz w:val="28"/>
          <w:szCs w:val="28"/>
          <w:highlight w:val="none"/>
        </w:rPr>
      </w:pPr>
      <w:r>
        <w:rPr>
          <w:rFonts w:ascii="Tinos" w:hAnsi="Tinos" w:eastAsia="Tinos" w:cs="Tinos"/>
          <w:color w:val="auto"/>
          <w:sz w:val="28"/>
          <w:szCs w:val="28"/>
          <w:highlight w:val="none"/>
          <w:lang w:val="ru-RU"/>
        </w:rPr>
        <w:t xml:space="preserve">В случае наличия аудитории, в которой использовались ЭМ, выполненные рельефно-точечным шрифтом Брайля, проконтролировать сканирование бланков регистрации в Штабе ППЭ.</w:t>
      </w:r>
      <w:r>
        <w:rPr>
          <w:rFonts w:ascii="Tinos" w:hAnsi="Tinos" w:cs="Tinos"/>
          <w:color w:val="auto"/>
          <w:sz w:val="28"/>
          <w:szCs w:val="28"/>
          <w:highlight w:val="none"/>
        </w:rPr>
      </w:r>
      <w:r>
        <w:rPr>
          <w:rFonts w:ascii="Tinos" w:hAnsi="Tinos" w:cs="Tinos"/>
          <w:color w:val="auto"/>
          <w:sz w:val="28"/>
          <w:szCs w:val="28"/>
          <w:highlight w:val="none"/>
        </w:rPr>
      </w:r>
    </w:p>
    <w:p>
      <w:pPr>
        <w:ind w:right="0" w:firstLine="709"/>
        <w:spacing w:before="0" w:beforeAutospacing="0" w:after="0" w:afterAutospacing="0" w:line="240" w:lineRule="auto"/>
        <w:widowControl w:val="off"/>
        <w:rPr>
          <w:rFonts w:ascii="Tinos" w:hAnsi="Tinos" w:cs="Tinos"/>
          <w:sz w:val="28"/>
          <w:szCs w:val="28"/>
          <w:highlight w:val="none"/>
        </w:rPr>
      </w:pPr>
      <w:r>
        <w:rPr>
          <w:rFonts w:ascii="Tinos" w:hAnsi="Tinos" w:eastAsia="Tinos" w:cs="Tinos"/>
          <w:color w:val="auto"/>
          <w:sz w:val="28"/>
          <w:szCs w:val="28"/>
          <w:highlight w:val="none"/>
          <w:lang w:val="ru-RU"/>
        </w:rPr>
        <w:t xml:space="preserve">В случае проведения экзамена в специальной аудитории ППЭ член ГЭК должен получить по окончании экзаме</w:t>
      </w:r>
      <w:r>
        <w:rPr>
          <w:rFonts w:ascii="Tinos" w:hAnsi="Tinos" w:eastAsia="Tinos" w:cs="Tinos"/>
          <w:color w:val="auto"/>
          <w:sz w:val="28"/>
          <w:szCs w:val="28"/>
          <w:highlight w:val="none"/>
          <w:lang w:val="ru-RU"/>
        </w:rPr>
        <w:t xml:space="preserve">на от руководителя ППЭ материалы из специальной аудитории. При проведении в ППЭ сканирования бланков регистрации (в аудитории) и форм ППЭ (в Штабе ППЭ) бланки регистрации из специальной аудитории могут быть отсканированы и переданы в РЦОИ отдельным пакетом</w:t>
      </w:r>
      <w:r>
        <w:rPr>
          <w:rFonts w:ascii="Tinos" w:hAnsi="Tinos" w:eastAsia="Tinos" w:cs="Tinos"/>
          <w:color w:val="auto"/>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left="-15" w:right="-1" w:firstLine="567"/>
        <w:spacing w:before="0" w:beforeAutospacing="0" w:after="0" w:afterAutospacing="0" w:line="240" w:lineRule="auto"/>
        <w:tabs>
          <w:tab w:val="left" w:pos="10205" w:leader="none"/>
        </w:tabs>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w:t>
      </w:r>
      <w:r>
        <w:rPr>
          <w:rFonts w:ascii="Tinos" w:hAnsi="Tinos" w:eastAsia="Tinos" w:cs="Tinos"/>
          <w:b/>
          <w:sz w:val="28"/>
          <w:szCs w:val="28"/>
          <w:highlight w:val="none"/>
          <w:lang w:val="ru-RU"/>
        </w:rPr>
        <w:t xml:space="preserve">ка для организатора в аудитории при проведении КЕГЭ для слепых, слабовидящих и </w:t>
      </w:r>
      <w:r>
        <w:rPr>
          <w:rFonts w:ascii="Tinos" w:hAnsi="Tinos" w:eastAsia="Tinos" w:cs="Tinos"/>
          <w:b/>
          <w:sz w:val="28"/>
          <w:szCs w:val="28"/>
          <w:highlight w:val="none"/>
          <w:lang w:val="ru-RU"/>
        </w:rPr>
        <w:t xml:space="preserve">п</w:t>
      </w:r>
      <w:r>
        <w:rPr>
          <w:rFonts w:ascii="Tinos" w:hAnsi="Tinos" w:eastAsia="Tinos" w:cs="Tinos"/>
          <w:b/>
          <w:sz w:val="28"/>
          <w:szCs w:val="28"/>
          <w:highlight w:val="none"/>
          <w:lang w:val="ru-RU"/>
        </w:rPr>
        <w:t xml:space="preserve">о</w:t>
      </w:r>
      <w:r>
        <w:rPr>
          <w:rFonts w:ascii="Tinos" w:hAnsi="Tinos" w:eastAsia="Tinos" w:cs="Tinos"/>
          <w:b/>
          <w:sz w:val="28"/>
          <w:szCs w:val="28"/>
          <w:highlight w:val="none"/>
          <w:lang w:val="ru-RU"/>
        </w:rPr>
        <w:t xml:space="preserve">здноослепших</w:t>
      </w:r>
      <w:r>
        <w:rPr>
          <w:rFonts w:ascii="Tinos" w:hAnsi="Tinos" w:eastAsia="Tinos" w:cs="Tinos"/>
          <w:b/>
          <w:sz w:val="28"/>
          <w:szCs w:val="28"/>
          <w:highlight w:val="none"/>
          <w:lang w:val="ru-RU"/>
        </w:rPr>
        <w:t xml:space="preserve"> участников экзамена, использующих рельефно-точечный шрифт Брайля.</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Перед началом экзамена организаторы в аудитории </w:t>
      </w:r>
      <w:r>
        <w:rPr>
          <w:rFonts w:ascii="Tinos" w:hAnsi="Tinos" w:eastAsia="Tinos" w:cs="Tinos"/>
          <w:sz w:val="28"/>
          <w:szCs w:val="28"/>
          <w:highlight w:val="none"/>
          <w:lang w:val="ru-RU"/>
        </w:rPr>
        <w:t xml:space="preserve">должны</w:t>
      </w:r>
      <w:r>
        <w:rPr>
          <w:rFonts w:ascii="Tinos" w:hAnsi="Tinos" w:eastAsia="Tinos" w:cs="Tinos"/>
          <w:b/>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b/>
          <w:sz w:val="28"/>
          <w:szCs w:val="28"/>
          <w:highlight w:val="none"/>
          <w:lang w:val="ru-RU"/>
        </w:rPr>
        <w:t xml:space="preserve">н</w:t>
      </w:r>
      <w:r>
        <w:rPr>
          <w:rFonts w:ascii="Tinos" w:hAnsi="Tinos" w:eastAsia="Tinos" w:cs="Tinos"/>
          <w:b/>
          <w:sz w:val="28"/>
          <w:szCs w:val="28"/>
          <w:highlight w:val="none"/>
          <w:lang w:val="ru-RU"/>
        </w:rPr>
        <w:t xml:space="preserve">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45 минут до начала экзамена</w:t>
      </w:r>
      <w:r>
        <w:rPr>
          <w:rFonts w:ascii="Tinos" w:hAnsi="Tinos" w:eastAsia="Tinos" w:cs="Tinos"/>
          <w:sz w:val="28"/>
          <w:szCs w:val="28"/>
          <w:highlight w:val="none"/>
          <w:lang w:val="ru-RU"/>
        </w:rPr>
        <w:t xml:space="preserve"> организаторы в аудитории должны получить у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стандартные формы;</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color w:val="auto"/>
          <w:sz w:val="28"/>
          <w:szCs w:val="28"/>
          <w:highlight w:val="none"/>
        </w:rPr>
      </w:pPr>
      <w:r>
        <w:rPr>
          <w:rFonts w:ascii="Tinos" w:hAnsi="Tinos" w:eastAsia="Tinos" w:cs="Tinos"/>
          <w:sz w:val="28"/>
          <w:szCs w:val="28"/>
          <w:highlight w:val="none"/>
          <w:lang w:val="ru-RU"/>
        </w:rPr>
        <w:t xml:space="preserve">черновики </w:t>
      </w:r>
      <w:r>
        <w:rPr>
          <w:rFonts w:ascii="Tinos" w:hAnsi="Tinos" w:eastAsia="Tinos" w:cs="Tinos"/>
          <w:sz w:val="28"/>
          <w:szCs w:val="28"/>
          <w:highlight w:val="none"/>
          <w:lang w:val="ru-RU"/>
        </w:rPr>
        <w:t xml:space="preserve">из расчета по 10 листов для письма по системе Брайля на каждого участника экзамена</w:t>
      </w:r>
      <w:r>
        <w:rPr>
          <w:rFonts w:ascii="Tinos" w:hAnsi="Tinos" w:eastAsia="Tinos" w:cs="Tinos"/>
          <w:color w:val="auto"/>
          <w:sz w:val="28"/>
          <w:szCs w:val="28"/>
          <w:highlight w:val="none"/>
          <w:lang w:val="ru-RU"/>
        </w:rPr>
        <w:t xml:space="preserve">;</w:t>
      </w:r>
      <w:r>
        <w:rPr>
          <w:rFonts w:ascii="Tinos" w:hAnsi="Tinos" w:cs="Tinos"/>
          <w:color w:val="auto"/>
          <w:sz w:val="28"/>
          <w:szCs w:val="28"/>
          <w:highlight w:val="none"/>
        </w:rPr>
      </w:r>
      <w:r>
        <w:rPr>
          <w:rFonts w:ascii="Tinos" w:hAnsi="Tinos" w:cs="Tinos"/>
          <w:color w:val="auto"/>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идентификацию личности по д</w:t>
      </w:r>
      <w:r>
        <w:rPr>
          <w:rFonts w:ascii="Tinos" w:hAnsi="Tinos" w:eastAsia="Tinos" w:cs="Tinos"/>
          <w:sz w:val="28"/>
          <w:szCs w:val="28"/>
          <w:highlight w:val="none"/>
          <w:lang w:val="ru-RU"/>
        </w:rPr>
        <w:t xml:space="preserve">окументу, удостоверяющего личность ассистента, с выданной формой при входе ассистента в аудиторию. Участники экзамена могут взять с собой на отведенное место в аудитории письменный прибор Брайля, специальные чертежные инструменты (при необходимости) и др. </w:t>
      </w:r>
      <w:r>
        <w:rPr>
          <w:rFonts w:ascii="Tinos" w:hAnsi="Tinos" w:cs="Tinos"/>
          <w:sz w:val="28"/>
          <w:szCs w:val="28"/>
          <w:highlight w:val="none"/>
        </w:rPr>
      </w:r>
      <w:r>
        <w:rPr>
          <w:rFonts w:ascii="Tinos" w:hAnsi="Tinos" w:cs="Tinos"/>
          <w:sz w:val="28"/>
          <w:szCs w:val="28"/>
          <w:highlight w:val="none"/>
        </w:rPr>
      </w:r>
    </w:p>
    <w:p>
      <w:pPr>
        <w:pStyle w:val="1003"/>
        <w:ind w:left="0" w:right="0" w:firstLine="709"/>
        <w:spacing w:before="0" w:beforeAutospacing="0" w:after="0" w:afterAutospacing="0" w:line="240" w:lineRule="auto"/>
        <w:tabs>
          <w:tab w:val="left" w:pos="993" w:leader="none"/>
          <w:tab w:val="left" w:pos="1134" w:leader="none"/>
        </w:tabs>
        <w:rPr>
          <w:rFonts w:ascii="Tinos" w:hAnsi="Tinos" w:cs="Tinos"/>
          <w:color w:val="auto"/>
          <w:sz w:val="28"/>
          <w:szCs w:val="28"/>
          <w:highlight w:val="none"/>
        </w:rPr>
      </w:pPr>
      <w:r>
        <w:rPr>
          <w:rFonts w:ascii="Tinos" w:hAnsi="Tinos" w:eastAsia="Tinos" w:cs="Tinos"/>
          <w:b/>
          <w:color w:val="auto"/>
          <w:sz w:val="28"/>
          <w:szCs w:val="28"/>
          <w:highlight w:val="none"/>
          <w:lang w:val="ru-RU"/>
        </w:rPr>
        <w:t xml:space="preserve">В день проведения экзамена до начала экзамена</w:t>
      </w:r>
      <w:r>
        <w:rPr>
          <w:rFonts w:ascii="Tinos" w:hAnsi="Tinos" w:eastAsia="Tinos" w:cs="Tinos"/>
          <w:color w:val="auto"/>
          <w:sz w:val="28"/>
          <w:szCs w:val="28"/>
          <w:highlight w:val="none"/>
          <w:lang w:val="ru-RU"/>
        </w:rPr>
        <w:t xml:space="preserve"> ассистенты участника в присутствии технического специалиста выполняют настройку используемого оборудования (громкость воспроизведения наушников (</w:t>
      </w:r>
      <w:r>
        <w:rPr>
          <w:rFonts w:ascii="Tinos" w:hAnsi="Tinos" w:eastAsia="Tinos" w:cs="Tinos"/>
          <w:color w:val="auto"/>
          <w:sz w:val="28"/>
          <w:szCs w:val="28"/>
          <w:highlight w:val="none"/>
          <w:lang w:val="ru-RU"/>
        </w:rPr>
        <w:t xml:space="preserve">аудиогарнитуры</w:t>
      </w:r>
      <w:r>
        <w:rPr>
          <w:rFonts w:ascii="Tinos" w:hAnsi="Tinos" w:eastAsia="Tinos" w:cs="Tinos"/>
          <w:color w:val="auto"/>
          <w:sz w:val="28"/>
          <w:szCs w:val="28"/>
          <w:highlight w:val="none"/>
          <w:lang w:val="ru-RU"/>
        </w:rPr>
        <w:t xml:space="preserve">),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r>
        <w:rPr>
          <w:rFonts w:ascii="Tinos" w:hAnsi="Tinos" w:eastAsia="Tinos" w:cs="Tinos"/>
          <w:color w:val="auto"/>
          <w:sz w:val="28"/>
          <w:szCs w:val="28"/>
          <w:highlight w:val="none"/>
          <w:lang w:val="ru-RU"/>
        </w:rPr>
        <w:t xml:space="preserve">.</w:t>
      </w:r>
      <w:r>
        <w:rPr>
          <w:rFonts w:ascii="Tinos" w:hAnsi="Tinos" w:cs="Tinos"/>
          <w:color w:val="auto"/>
          <w:sz w:val="28"/>
          <w:szCs w:val="28"/>
          <w:highlight w:val="none"/>
        </w:rPr>
      </w:r>
      <w:r>
        <w:rPr>
          <w:rFonts w:ascii="Tinos" w:hAnsi="Tinos" w:cs="Tinos"/>
          <w:color w:val="auto"/>
          <w:sz w:val="28"/>
          <w:szCs w:val="28"/>
          <w:highlight w:val="none"/>
        </w:rPr>
      </w:r>
    </w:p>
    <w:p>
      <w:pPr>
        <w:ind w:right="3" w:firstLine="709"/>
        <w:spacing w:before="0" w:beforeAutospacing="0" w:after="0" w:afterAutospacing="0" w:line="240" w:lineRule="auto"/>
        <w:rPr>
          <w:rFonts w:ascii="Tinos" w:hAnsi="Tinos" w:cs="Tinos"/>
          <w:b/>
          <w:sz w:val="28"/>
          <w:szCs w:val="28"/>
          <w:highlight w:val="none"/>
        </w:rPr>
      </w:pPr>
      <w:r>
        <w:rPr>
          <w:rFonts w:ascii="Tinos" w:hAnsi="Tinos" w:eastAsia="Tinos" w:cs="Tinos"/>
          <w:b/>
          <w:sz w:val="28"/>
          <w:szCs w:val="28"/>
          <w:highlight w:val="none"/>
          <w:lang w:val="ru-RU"/>
        </w:rPr>
        <w:t xml:space="preserve">Проведение ЕГЭ в аудитории</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Не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15 минут</w:t>
      </w:r>
      <w:r>
        <w:rPr>
          <w:rFonts w:ascii="Tinos" w:hAnsi="Tinos" w:eastAsia="Tinos" w:cs="Tinos"/>
          <w:sz w:val="28"/>
          <w:szCs w:val="28"/>
          <w:highlight w:val="none"/>
          <w:lang w:val="ru-RU"/>
        </w:rPr>
        <w:t xml:space="preserve"> до начала экзамена организатор в аудитории должен получить у руководителя ППЭ доставочные </w:t>
      </w:r>
      <w:r>
        <w:rPr>
          <w:rFonts w:ascii="Tinos" w:hAnsi="Tinos" w:eastAsia="Tinos" w:cs="Tinos"/>
          <w:sz w:val="28"/>
          <w:szCs w:val="28"/>
          <w:highlight w:val="none"/>
          <w:lang w:val="ru-RU"/>
        </w:rPr>
        <w:t xml:space="preserve">спецпакеты</w:t>
      </w:r>
      <w:r>
        <w:rPr>
          <w:rFonts w:ascii="Tinos" w:hAnsi="Tinos" w:eastAsia="Tinos" w:cs="Tinos"/>
          <w:sz w:val="28"/>
          <w:szCs w:val="28"/>
          <w:highlight w:val="none"/>
          <w:lang w:val="ru-RU"/>
        </w:rPr>
        <w:t xml:space="preserve"> с ИК, содержащие задания к КИМ, напечатанные рельефно-точечным шрифтом Брайля, бланк регистрации, черновик для записей рельефно-точечным шрифтом Брайля, представленный в виде тетради.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После выдачи участникам экзамена бланков регистрации ассистенты должны вписать в специально отведе</w:t>
      </w:r>
      <w:r>
        <w:rPr>
          <w:rFonts w:ascii="Tinos" w:hAnsi="Tinos" w:eastAsia="Tinos" w:cs="Tinos"/>
          <w:sz w:val="28"/>
          <w:szCs w:val="28"/>
          <w:highlight w:val="none"/>
          <w:lang w:val="ru-RU"/>
        </w:rPr>
        <w:t xml:space="preserve">нное место регистрационных полей бланка регистрации ФИО и данные участника экзамена из документа, удостоверяющего его личность, и данные о ППЭ, записанные организаторами на доске (информационном стенде), во время проведения инструктажа участников экзамена.</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Также ассистент должен ознакомить участника </w:t>
      </w:r>
      <w:r>
        <w:rPr>
          <w:rFonts w:ascii="Tinos" w:hAnsi="Tinos" w:eastAsia="Tinos" w:cs="Tinos"/>
          <w:sz w:val="28"/>
          <w:szCs w:val="28"/>
          <w:highlight w:val="none"/>
          <w:lang w:val="ru-RU"/>
        </w:rPr>
        <w:t xml:space="preserve">экзамена</w:t>
      </w:r>
      <w:r>
        <w:rPr>
          <w:rFonts w:ascii="Tinos" w:hAnsi="Tinos" w:eastAsia="Tinos" w:cs="Tinos"/>
          <w:sz w:val="28"/>
          <w:szCs w:val="28"/>
          <w:highlight w:val="none"/>
          <w:lang w:val="ru-RU"/>
        </w:rPr>
        <w:t xml:space="preserve"> с перечнем установленного стандартного ПО, зарегистрированного в станции КЕГЭ, и с адресом рабочей папки, с которой участник экзамена должен работать во время экзамена (в соответствии с информацией в приложении к паспорту станции КЕГЭ).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За 30 минут и за 5 минут до окончания выполнения ЭР организаторы должны сообщить участникам экзамена о скором завершении выполнения ЭР и напомнить о необходимости проверки корректности внесения и наличия сохранных ответов на</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задания </w:t>
      </w:r>
      <w:r>
        <w:rPr>
          <w:rFonts w:ascii="Tinos" w:hAnsi="Tinos" w:eastAsia="Tinos" w:cs="Tinos"/>
          <w:sz w:val="28"/>
          <w:szCs w:val="28"/>
          <w:highlight w:val="none"/>
          <w:lang w:val="ru-RU"/>
        </w:rPr>
        <w:t xml:space="preserve">в</w:t>
      </w:r>
      <w:r>
        <w:rPr>
          <w:rFonts w:ascii="Tinos" w:hAnsi="Tinos" w:eastAsia="Tinos" w:cs="Tinos"/>
          <w:sz w:val="28"/>
          <w:szCs w:val="28"/>
          <w:highlight w:val="none"/>
          <w:lang w:val="ru-RU"/>
        </w:rPr>
        <w:t xml:space="preserve"> ПО «Станция КЕГЭ».</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истечении времени, отведенного на проведение экзамена, ответственный организатор должен объявить, что экзамен окончен. Ассист</w:t>
      </w:r>
      <w:r>
        <w:rPr>
          <w:rFonts w:ascii="Tinos" w:hAnsi="Tinos" w:eastAsia="Tinos" w:cs="Tinos"/>
          <w:sz w:val="28"/>
          <w:szCs w:val="28"/>
          <w:highlight w:val="none"/>
          <w:lang w:val="ru-RU"/>
        </w:rPr>
        <w:t xml:space="preserve">ент помогает участнику завершить экзамен на станции КЕГЭ, в том числе досрочно. Затем ассистент сообщает участнику и переносит в бланк регистрации контрольную сумму, отображенную на станции КЕГЭ, и подписывает. Заполненный бланк регистрации, текст заданий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КИМ</w:t>
      </w:r>
      <w:r>
        <w:rPr>
          <w:rFonts w:ascii="Tinos" w:hAnsi="Tinos" w:eastAsia="Tinos" w:cs="Tinos"/>
          <w:sz w:val="28"/>
          <w:szCs w:val="28"/>
          <w:highlight w:val="none"/>
          <w:lang w:val="ru-RU"/>
        </w:rPr>
        <w:t xml:space="preserve">, че</w:t>
      </w:r>
      <w:r>
        <w:rPr>
          <w:rFonts w:ascii="Tinos" w:hAnsi="Tinos" w:eastAsia="Tinos" w:cs="Tinos"/>
          <w:sz w:val="28"/>
          <w:szCs w:val="28"/>
          <w:highlight w:val="none"/>
          <w:lang w:val="ru-RU"/>
        </w:rPr>
        <w:t xml:space="preserve">рновик для записей рельефно-точечным шрифтом Брайля, представленный в виде тетради, и черновики (по технологии Брайля) кладет на край рабочего стола (при этом все оставшиеся в аудитории участники экзамена и их ассистенты должны оставаться на своих местах).</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Организаторы в аудитории самостоятельно собирают у участников экзамена ЭМ (бланки регистрации, черновики, черновик для записей рельефно-точечным шрифтом Брайля, предс</w:t>
      </w:r>
      <w:r>
        <w:rPr>
          <w:rFonts w:ascii="Tinos" w:hAnsi="Tinos" w:eastAsia="Tinos" w:cs="Tinos"/>
          <w:sz w:val="28"/>
          <w:szCs w:val="28"/>
          <w:highlight w:val="none"/>
          <w:lang w:val="ru-RU"/>
        </w:rPr>
        <w:t xml:space="preserve">тавленный в виде тетради, текст заданий к КИМ), фиксируют на конверте количество сданных участником экзамена листов бумаги для черновиков, бланков, черновиков для записей рельефно-точечным шрифтом Брайля, представленных в виде тетради, ставят свою подпись.</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Участники экзамена и их ассистенты покидают аудиторию.</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По итогам сбора ЭМ у участников экзамена организатор формирует материалы по следующим категориям: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 регистрации;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и черновики для записей рельефно-точечным шрифтом Брайля, представленные в виде тетради;</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задания </w:t>
      </w:r>
      <w:r>
        <w:rPr>
          <w:rFonts w:ascii="Tinos" w:hAnsi="Tinos" w:eastAsia="Tinos" w:cs="Tinos"/>
          <w:sz w:val="28"/>
          <w:szCs w:val="28"/>
          <w:highlight w:val="none"/>
          <w:lang w:val="ru-RU"/>
        </w:rPr>
        <w:t xml:space="preserve">к</w:t>
      </w:r>
      <w:r>
        <w:rPr>
          <w:rFonts w:ascii="Tinos" w:hAnsi="Tinos" w:eastAsia="Tinos" w:cs="Tinos"/>
          <w:sz w:val="28"/>
          <w:szCs w:val="28"/>
          <w:highlight w:val="none"/>
          <w:lang w:val="ru-RU"/>
        </w:rPr>
        <w:t xml:space="preserve"> КИМ.</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должен пересчитать бланки регистрации и запечатать их в пакет.</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заполняет сопроводительный бланк на </w:t>
      </w:r>
      <w:r>
        <w:rPr>
          <w:rFonts w:ascii="Tinos" w:hAnsi="Tinos" w:eastAsia="Tinos" w:cs="Tinos"/>
          <w:sz w:val="28"/>
          <w:szCs w:val="28"/>
          <w:highlight w:val="none"/>
          <w:lang w:val="ru-RU"/>
        </w:rPr>
        <w:t xml:space="preserve">конверт</w:t>
      </w:r>
      <w:r>
        <w:rPr>
          <w:rFonts w:ascii="Tinos" w:hAnsi="Tinos" w:eastAsia="Tinos" w:cs="Tinos"/>
          <w:sz w:val="28"/>
          <w:szCs w:val="28"/>
          <w:highlight w:val="none"/>
          <w:lang w:val="ru-RU"/>
        </w:rPr>
        <w:t xml:space="preserve">, в котором отмечает информацию о регионе, ППЭ, аудитории, учебном предмете, количестве бланков регистрации в пакете, ответственном организаторе в аудитории.</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Сканирование бланков регистрации в аудитории не производится, организатор сдаёт ЭМ руководителю ППЭ в Штабе ППЭ.</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w:t>
      </w:r>
      <w:r>
        <w:rPr>
          <w:rFonts w:ascii="Tinos" w:hAnsi="Tinos" w:eastAsia="Tinos" w:cs="Tinos"/>
          <w:b/>
          <w:sz w:val="28"/>
          <w:szCs w:val="28"/>
          <w:highlight w:val="none"/>
          <w:lang w:val="ru-RU"/>
        </w:rPr>
        <w:t xml:space="preserve">амятка для организатора в аудитории при проведении КЕГЭ для слабовидящих участников экзамена.</w:t>
      </w:r>
      <w:r>
        <w:rPr>
          <w:rFonts w:ascii="Tinos" w:hAnsi="Tinos" w:cs="Tinos"/>
          <w:b/>
          <w:sz w:val="28"/>
          <w:szCs w:val="28"/>
          <w:highlight w:val="none"/>
        </w:rPr>
      </w:r>
      <w:r>
        <w:rPr>
          <w:rFonts w:ascii="Tinos" w:hAnsi="Tinos" w:cs="Tinos"/>
          <w:b/>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Организатор</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в</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аудитории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обеспечивает</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проведение</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завершение</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экзамена</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в</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соответствии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с</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инстр</w:t>
      </w:r>
      <w:r>
        <w:rPr>
          <w:rFonts w:ascii="Tinos" w:hAnsi="Tinos" w:eastAsia="Tinos" w:cs="Tinos"/>
          <w:sz w:val="28"/>
          <w:szCs w:val="28"/>
          <w:highlight w:val="none"/>
        </w:rPr>
        <w:t xml:space="preserve">укцией</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для</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организатора</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в</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аудитории,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с</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учетом</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особенностей,</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описанных</w:t>
      </w:r>
      <w:r>
        <w:rPr>
          <w:rFonts w:ascii="Tinos" w:hAnsi="Tinos" w:eastAsia="Tinos" w:cs="Tinos"/>
          <w:spacing w:val="-2"/>
          <w:sz w:val="28"/>
          <w:szCs w:val="28"/>
          <w:highlight w:val="none"/>
        </w:rPr>
        <w:t xml:space="preserve"> </w:t>
      </w:r>
      <w:r>
        <w:rPr>
          <w:rFonts w:ascii="Tinos" w:hAnsi="Tinos" w:eastAsia="Tinos" w:cs="Tinos"/>
          <w:sz w:val="28"/>
          <w:szCs w:val="28"/>
          <w:highlight w:val="none"/>
        </w:rPr>
        <w:t xml:space="preserve">в</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настоящей</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памятке.</w:t>
      </w:r>
      <w:r>
        <w:rPr>
          <w:rFonts w:ascii="Tinos" w:hAnsi="Tinos" w:cs="Tinos"/>
          <w:sz w:val="28"/>
          <w:szCs w:val="28"/>
          <w:highlight w:val="none"/>
        </w:rPr>
      </w:r>
      <w:r>
        <w:rPr>
          <w:rFonts w:ascii="Tinos" w:hAnsi="Tinos" w:cs="Tinos"/>
          <w:sz w:val="28"/>
          <w:szCs w:val="28"/>
          <w:highlight w:val="none"/>
        </w:rPr>
      </w:r>
    </w:p>
    <w:p>
      <w:pPr>
        <w:pStyle w:val="976"/>
        <w:ind w:right="-1" w:firstLine="566"/>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Перед началом экзамена организаторы в аудитории </w:t>
      </w:r>
      <w:r>
        <w:rPr>
          <w:rFonts w:ascii="Tinos" w:hAnsi="Tinos" w:eastAsia="Tinos" w:cs="Tinos"/>
          <w:b w:val="0"/>
          <w:sz w:val="28"/>
          <w:szCs w:val="28"/>
          <w:highlight w:val="none"/>
        </w:rPr>
        <w:t xml:space="preserve">должны</w:t>
      </w:r>
      <w:r>
        <w:rPr>
          <w:rFonts w:ascii="Tinos" w:hAnsi="Tinos" w:eastAsia="Tinos" w:cs="Tinos"/>
          <w:sz w:val="28"/>
          <w:szCs w:val="28"/>
          <w:highlight w:val="none"/>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b/>
          <w:sz w:val="28"/>
          <w:szCs w:val="28"/>
          <w:highlight w:val="none"/>
          <w:lang w:val="ru-RU"/>
        </w:rPr>
        <w:t xml:space="preserve">н</w:t>
      </w:r>
      <w:r>
        <w:rPr>
          <w:rFonts w:ascii="Tinos" w:hAnsi="Tinos" w:eastAsia="Tinos" w:cs="Tinos"/>
          <w:b/>
          <w:sz w:val="28"/>
          <w:szCs w:val="28"/>
          <w:highlight w:val="none"/>
          <w:lang w:val="ru-RU"/>
        </w:rPr>
        <w:t xml:space="preserve">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45 минут до начала экзамена </w:t>
      </w:r>
      <w:r>
        <w:rPr>
          <w:rFonts w:ascii="Tinos" w:hAnsi="Tinos" w:eastAsia="Tinos" w:cs="Tinos"/>
          <w:sz w:val="28"/>
          <w:szCs w:val="28"/>
          <w:highlight w:val="none"/>
          <w:lang w:val="ru-RU"/>
        </w:rPr>
        <w:t xml:space="preserve">организаторы в аудитории должны</w:t>
      </w:r>
      <w:r>
        <w:rPr>
          <w:rFonts w:ascii="Tinos" w:hAnsi="Tinos" w:eastAsia="Tinos" w:cs="Tinos"/>
          <w:spacing w:val="1"/>
          <w:sz w:val="28"/>
          <w:szCs w:val="28"/>
          <w:highlight w:val="none"/>
          <w:lang w:val="ru-RU"/>
        </w:rPr>
        <w:t xml:space="preserve"> </w:t>
      </w:r>
      <w:r>
        <w:rPr>
          <w:rFonts w:ascii="Tinos" w:hAnsi="Tinos" w:eastAsia="Tinos" w:cs="Tinos"/>
          <w:sz w:val="28"/>
          <w:szCs w:val="28"/>
          <w:highlight w:val="none"/>
          <w:lang w:val="ru-RU"/>
        </w:rPr>
        <w:t xml:space="preserve">получить</w:t>
      </w:r>
      <w:r>
        <w:rPr>
          <w:rFonts w:ascii="Tinos" w:hAnsi="Tinos" w:eastAsia="Tinos" w:cs="Tinos"/>
          <w:spacing w:val="2"/>
          <w:sz w:val="28"/>
          <w:szCs w:val="28"/>
          <w:highlight w:val="none"/>
          <w:lang w:val="ru-RU"/>
        </w:rPr>
        <w:t xml:space="preserve"> </w:t>
      </w:r>
      <w:r>
        <w:rPr>
          <w:rFonts w:ascii="Tinos" w:hAnsi="Tinos" w:eastAsia="Tinos" w:cs="Tinos"/>
          <w:sz w:val="28"/>
          <w:szCs w:val="28"/>
          <w:highlight w:val="none"/>
          <w:lang w:val="ru-RU"/>
        </w:rPr>
        <w:t xml:space="preserve">у</w:t>
      </w:r>
      <w:r>
        <w:rPr>
          <w:rFonts w:ascii="Tinos" w:hAnsi="Tinos" w:eastAsia="Tinos" w:cs="Tinos"/>
          <w:spacing w:val="-3"/>
          <w:sz w:val="28"/>
          <w:szCs w:val="28"/>
          <w:highlight w:val="none"/>
          <w:lang w:val="ru-RU"/>
        </w:rPr>
        <w:t xml:space="preserve"> </w:t>
      </w:r>
      <w:r>
        <w:rPr>
          <w:rFonts w:ascii="Tinos" w:hAnsi="Tinos" w:eastAsia="Tinos" w:cs="Tinos"/>
          <w:sz w:val="28"/>
          <w:szCs w:val="28"/>
          <w:highlight w:val="none"/>
          <w:lang w:val="ru-RU"/>
        </w:rPr>
        <w:t xml:space="preserve">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стандартные формы;</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масштабированный черновик участника КЕГЭ по одному комплекту на каждого участника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масштабированные 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масштабированные 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(для соответствующих компьютеров);</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«Обычные» черновики (выдаются по запросу участника, если недостаточно черновика участника КЕГЭ).</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идентификацию личности по документу, удостоверяющего личность ассистента, с выданной формой при входе ассистента в аудиторию. </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Участники экзамена могут взять с собой на отведенное место в аудитории лупу или </w:t>
      </w:r>
      <w:r>
        <w:rPr>
          <w:rFonts w:ascii="Tinos" w:hAnsi="Tinos" w:eastAsia="Tinos" w:cs="Tinos"/>
          <w:sz w:val="28"/>
          <w:szCs w:val="28"/>
          <w:highlight w:val="none"/>
        </w:rPr>
        <w:t xml:space="preserve">  </w:t>
      </w:r>
      <w:r>
        <w:rPr>
          <w:rFonts w:ascii="Tinos" w:hAnsi="Tinos" w:eastAsia="Tinos" w:cs="Tinos"/>
          <w:sz w:val="28"/>
          <w:szCs w:val="28"/>
          <w:highlight w:val="none"/>
        </w:rPr>
        <w:t xml:space="preserve">иное увеличительное</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устройство.</w:t>
      </w:r>
      <w:r>
        <w:rPr>
          <w:rFonts w:ascii="Tinos" w:hAnsi="Tinos" w:cs="Tinos"/>
          <w:sz w:val="28"/>
          <w:szCs w:val="28"/>
          <w:highlight w:val="none"/>
        </w:rPr>
      </w:r>
      <w:r>
        <w:rPr>
          <w:rFonts w:ascii="Tinos" w:hAnsi="Tinos" w:cs="Tinos"/>
          <w:sz w:val="28"/>
          <w:szCs w:val="28"/>
          <w:highlight w:val="none"/>
        </w:rPr>
      </w:r>
    </w:p>
    <w:p>
      <w:pPr>
        <w:ind w:right="-1" w:firstLine="566"/>
        <w:spacing w:before="0" w:beforeAutospacing="0" w:after="0" w:afterAutospacing="0" w:line="240" w:lineRule="auto"/>
        <w:tabs>
          <w:tab w:val="left" w:pos="1357" w:leader="none"/>
          <w:tab w:val="left" w:pos="2117" w:leader="none"/>
          <w:tab w:val="left" w:pos="3710" w:leader="none"/>
          <w:tab w:val="left" w:pos="5008" w:leader="none"/>
          <w:tab w:val="left" w:pos="5498" w:leader="none"/>
          <w:tab w:val="left" w:pos="6555" w:leader="none"/>
          <w:tab w:val="left" w:pos="7850" w:leader="none"/>
          <w:tab w:val="left" w:pos="9340" w:leader="none"/>
        </w:tabs>
        <w:rPr>
          <w:rFonts w:ascii="Tinos" w:hAnsi="Tinos" w:cs="Tinos"/>
          <w:sz w:val="28"/>
          <w:szCs w:val="28"/>
          <w:highlight w:val="none"/>
        </w:rPr>
      </w:pPr>
      <w:r>
        <w:rPr>
          <w:rFonts w:ascii="Tinos" w:hAnsi="Tinos" w:eastAsia="Tinos" w:cs="Tinos"/>
          <w:b/>
          <w:sz w:val="28"/>
          <w:szCs w:val="28"/>
          <w:highlight w:val="none"/>
          <w:lang w:val="ru-RU"/>
        </w:rPr>
        <w:t xml:space="preserve">В день проведения экзамена до начала экзамена</w:t>
      </w:r>
      <w:r>
        <w:rPr>
          <w:rFonts w:ascii="Tinos" w:hAnsi="Tinos" w:eastAsia="Tinos" w:cs="Tinos"/>
          <w:sz w:val="28"/>
          <w:szCs w:val="28"/>
          <w:highlight w:val="none"/>
          <w:lang w:val="ru-RU"/>
        </w:rPr>
        <w:t xml:space="preserve"> ассистенты участников в присутствии технического специалиста выполняют настройку параметров операционной системы и используемого оборудования (наушники или </w:t>
      </w:r>
      <w:r>
        <w:rPr>
          <w:rFonts w:ascii="Tinos" w:hAnsi="Tinos" w:eastAsia="Tinos" w:cs="Tinos"/>
          <w:sz w:val="28"/>
          <w:szCs w:val="28"/>
          <w:highlight w:val="none"/>
          <w:lang w:val="ru-RU"/>
        </w:rPr>
        <w:t xml:space="preserve">аудиогарнитура</w:t>
      </w:r>
      <w:r>
        <w:rPr>
          <w:rFonts w:ascii="Tinos" w:hAnsi="Tinos" w:eastAsia="Tinos" w:cs="Tinos"/>
          <w:sz w:val="28"/>
          <w:szCs w:val="28"/>
          <w:highlight w:val="none"/>
          <w:lang w:val="ru-RU"/>
        </w:rPr>
        <w:t xml:space="preserve">, громкость воспроизведения, контрастная цветовая схема, увеличение </w:t>
      </w:r>
      <w:r>
        <w:rPr>
          <w:rFonts w:ascii="Tinos" w:hAnsi="Tinos" w:eastAsia="Tinos" w:cs="Tinos"/>
          <w:sz w:val="28"/>
          <w:szCs w:val="28"/>
          <w:highlight w:val="none"/>
          <w:lang w:val="ru-RU"/>
        </w:rPr>
        <w:t xml:space="preserve">масШтаба</w:t>
      </w:r>
      <w:r>
        <w:rPr>
          <w:rFonts w:ascii="Tinos" w:hAnsi="Tinos" w:eastAsia="Tinos" w:cs="Tinos"/>
          <w:sz w:val="28"/>
          <w:szCs w:val="28"/>
          <w:highlight w:val="none"/>
          <w:lang w:val="ru-RU"/>
        </w:rPr>
        <w:t xml:space="preserve">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r>
        <w:rPr>
          <w:rFonts w:ascii="Tinos" w:hAnsi="Tinos" w:cs="Tinos"/>
          <w:sz w:val="28"/>
          <w:szCs w:val="28"/>
          <w:highlight w:val="none"/>
        </w:rPr>
      </w:r>
      <w:r>
        <w:rPr>
          <w:rFonts w:ascii="Tinos" w:hAnsi="Tinos" w:cs="Tinos"/>
          <w:sz w:val="28"/>
          <w:szCs w:val="28"/>
          <w:highlight w:val="none"/>
        </w:rPr>
      </w:r>
    </w:p>
    <w:p>
      <w:pPr>
        <w:ind w:right="-1" w:firstLine="566"/>
        <w:spacing w:before="0" w:beforeAutospacing="0" w:after="0" w:afterAutospacing="0" w:line="240" w:lineRule="auto"/>
        <w:tabs>
          <w:tab w:val="left" w:pos="1357" w:leader="none"/>
          <w:tab w:val="left" w:pos="2117" w:leader="none"/>
          <w:tab w:val="left" w:pos="3710" w:leader="none"/>
          <w:tab w:val="left" w:pos="5008" w:leader="none"/>
          <w:tab w:val="left" w:pos="5498" w:leader="none"/>
          <w:tab w:val="left" w:pos="6555" w:leader="none"/>
          <w:tab w:val="left" w:pos="7850" w:leader="none"/>
          <w:tab w:val="left" w:pos="9340" w:leader="none"/>
        </w:tabs>
        <w:rPr>
          <w:rFonts w:ascii="Tinos" w:hAnsi="Tinos" w:cs="Tinos"/>
          <w:b/>
          <w:sz w:val="28"/>
          <w:szCs w:val="28"/>
          <w:highlight w:val="none"/>
        </w:rPr>
      </w:pPr>
      <w:r>
        <w:rPr>
          <w:rFonts w:ascii="Tinos" w:hAnsi="Tinos" w:eastAsia="Tinos" w:cs="Tinos"/>
          <w:b/>
          <w:sz w:val="28"/>
          <w:szCs w:val="28"/>
          <w:highlight w:val="none"/>
          <w:lang w:val="ru-RU"/>
        </w:rPr>
        <w:t xml:space="preserve">Проведение</w:t>
      </w:r>
      <w:r>
        <w:rPr>
          <w:rFonts w:ascii="Tinos" w:hAnsi="Tinos" w:eastAsia="Tinos" w:cs="Tinos"/>
          <w:b/>
          <w:spacing w:val="-5"/>
          <w:sz w:val="28"/>
          <w:szCs w:val="28"/>
          <w:highlight w:val="none"/>
          <w:lang w:val="ru-RU"/>
        </w:rPr>
        <w:t xml:space="preserve"> </w:t>
      </w:r>
      <w:r>
        <w:rPr>
          <w:rFonts w:ascii="Tinos" w:hAnsi="Tinos" w:eastAsia="Tinos" w:cs="Tinos"/>
          <w:b/>
          <w:sz w:val="28"/>
          <w:szCs w:val="28"/>
          <w:highlight w:val="none"/>
          <w:lang w:val="ru-RU"/>
        </w:rPr>
        <w:t xml:space="preserve">ЕГЭ</w:t>
      </w:r>
      <w:r>
        <w:rPr>
          <w:rFonts w:ascii="Tinos" w:hAnsi="Tinos" w:eastAsia="Tinos" w:cs="Tinos"/>
          <w:b/>
          <w:spacing w:val="-4"/>
          <w:sz w:val="28"/>
          <w:szCs w:val="28"/>
          <w:highlight w:val="none"/>
          <w:lang w:val="ru-RU"/>
        </w:rPr>
        <w:t xml:space="preserve"> </w:t>
      </w:r>
      <w:r>
        <w:rPr>
          <w:rFonts w:ascii="Tinos" w:hAnsi="Tinos" w:eastAsia="Tinos" w:cs="Tinos"/>
          <w:b/>
          <w:sz w:val="28"/>
          <w:szCs w:val="28"/>
          <w:highlight w:val="none"/>
          <w:lang w:val="ru-RU"/>
        </w:rPr>
        <w:t xml:space="preserve">в</w:t>
      </w:r>
      <w:r>
        <w:rPr>
          <w:rFonts w:ascii="Tinos" w:hAnsi="Tinos" w:eastAsia="Tinos" w:cs="Tinos"/>
          <w:b/>
          <w:spacing w:val="-3"/>
          <w:sz w:val="28"/>
          <w:szCs w:val="28"/>
          <w:highlight w:val="none"/>
          <w:lang w:val="ru-RU"/>
        </w:rPr>
        <w:t xml:space="preserve"> </w:t>
      </w:r>
      <w:r>
        <w:rPr>
          <w:rFonts w:ascii="Tinos" w:hAnsi="Tinos" w:eastAsia="Tinos" w:cs="Tinos"/>
          <w:b/>
          <w:sz w:val="28"/>
          <w:szCs w:val="28"/>
          <w:highlight w:val="none"/>
          <w:lang w:val="ru-RU"/>
        </w:rPr>
        <w:t xml:space="preserve">аудитории:</w:t>
      </w:r>
      <w:r>
        <w:rPr>
          <w:rFonts w:ascii="Tinos" w:hAnsi="Tinos" w:cs="Tinos"/>
          <w:b/>
          <w:sz w:val="28"/>
          <w:szCs w:val="28"/>
          <w:highlight w:val="none"/>
        </w:rPr>
      </w:r>
      <w:r>
        <w:rPr>
          <w:rFonts w:ascii="Tinos" w:hAnsi="Tinos" w:cs="Tinos"/>
          <w:b/>
          <w:sz w:val="28"/>
          <w:szCs w:val="28"/>
          <w:highlight w:val="none"/>
        </w:rPr>
      </w:r>
    </w:p>
    <w:p>
      <w:pPr>
        <w:pStyle w:val="993"/>
        <w:ind w:firstLine="567"/>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Масштабирование</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бланков</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регистрации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(при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необходимости)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рекомендуется</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осуществлять непосредственно в аудитории проведения экзамена не ранее </w:t>
      </w:r>
      <w:r>
        <w:rPr>
          <w:rFonts w:ascii="Tinos" w:hAnsi="Tinos" w:eastAsia="Tinos" w:cs="Tinos"/>
          <w:sz w:val="28"/>
          <w:szCs w:val="28"/>
          <w:highlight w:val="none"/>
        </w:rPr>
        <w:br/>
      </w:r>
      <w:r>
        <w:rPr>
          <w:rFonts w:ascii="Tinos" w:hAnsi="Tinos" w:eastAsia="Tinos" w:cs="Tinos"/>
          <w:sz w:val="28"/>
          <w:szCs w:val="28"/>
          <w:highlight w:val="none"/>
        </w:rPr>
        <w:t xml:space="preserve">10 часов 00</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минут</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по</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мере</w:t>
      </w:r>
      <w:r>
        <w:rPr>
          <w:rFonts w:ascii="Tinos" w:hAnsi="Tinos" w:eastAsia="Tinos" w:cs="Tinos"/>
          <w:spacing w:val="-2"/>
          <w:sz w:val="28"/>
          <w:szCs w:val="28"/>
          <w:highlight w:val="none"/>
        </w:rPr>
        <w:t xml:space="preserve"> </w:t>
      </w:r>
      <w:r>
        <w:rPr>
          <w:rFonts w:ascii="Tinos" w:hAnsi="Tinos" w:eastAsia="Tinos" w:cs="Tinos"/>
          <w:sz w:val="28"/>
          <w:szCs w:val="28"/>
          <w:highlight w:val="none"/>
        </w:rPr>
        <w:t xml:space="preserve">печати</w:t>
      </w:r>
      <w:r>
        <w:rPr>
          <w:rFonts w:ascii="Tinos" w:hAnsi="Tinos" w:eastAsia="Tinos" w:cs="Tinos"/>
          <w:spacing w:val="-1"/>
          <w:sz w:val="28"/>
          <w:szCs w:val="28"/>
          <w:highlight w:val="none"/>
        </w:rPr>
        <w:t xml:space="preserve"> </w:t>
      </w:r>
      <w:r>
        <w:rPr>
          <w:rFonts w:ascii="Tinos" w:hAnsi="Tinos" w:eastAsia="Tinos" w:cs="Tinos"/>
          <w:sz w:val="28"/>
          <w:szCs w:val="28"/>
          <w:highlight w:val="none"/>
        </w:rPr>
        <w:t xml:space="preserve">бланков</w:t>
      </w:r>
      <w:r>
        <w:rPr>
          <w:rFonts w:ascii="Tinos" w:hAnsi="Tinos" w:eastAsia="Tinos" w:cs="Tinos"/>
          <w:spacing w:val="-2"/>
          <w:sz w:val="28"/>
          <w:szCs w:val="28"/>
          <w:highlight w:val="none"/>
        </w:rPr>
        <w:t xml:space="preserve"> </w:t>
      </w:r>
      <w:r>
        <w:rPr>
          <w:rFonts w:ascii="Tinos" w:hAnsi="Tinos" w:eastAsia="Tinos" w:cs="Tinos"/>
          <w:sz w:val="28"/>
          <w:szCs w:val="28"/>
          <w:highlight w:val="none"/>
        </w:rPr>
        <w:t xml:space="preserve">регистрации стандартных</w:t>
      </w:r>
      <w:r>
        <w:rPr>
          <w:rFonts w:ascii="Tinos" w:hAnsi="Tinos" w:eastAsia="Tinos" w:cs="Tinos"/>
          <w:spacing w:val="-2"/>
          <w:sz w:val="28"/>
          <w:szCs w:val="28"/>
          <w:highlight w:val="none"/>
        </w:rPr>
        <w:t xml:space="preserve"> </w:t>
      </w:r>
      <w:r>
        <w:rPr>
          <w:rFonts w:ascii="Tinos" w:hAnsi="Tinos" w:eastAsia="Tinos" w:cs="Tinos"/>
          <w:sz w:val="28"/>
          <w:szCs w:val="28"/>
          <w:highlight w:val="none"/>
        </w:rPr>
        <w:t xml:space="preserve">размеров.</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Слабовидящие участники экзамена могут работать с бланком регистрации стандартного или увеличенного размера (по своему выбору).</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В случае использования бланков стандартного размера ассистенты (при необходимости) должны вписать в специально от</w:t>
      </w:r>
      <w:r>
        <w:rPr>
          <w:rFonts w:ascii="Tinos" w:hAnsi="Tinos" w:eastAsia="Tinos" w:cs="Tinos"/>
          <w:sz w:val="28"/>
          <w:szCs w:val="28"/>
          <w:highlight w:val="none"/>
        </w:rPr>
        <w:t xml:space="preserve">веденное место регистрационных полей бланка регистрации ФИО и данные участника экзамена из документа, удостоверяющего личность, и данные о ППЭ, записанные организаторами на доске (информационном стенде), во время проведения инструктажа участников экзамена.</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За 30 минут и за 5 минут до окончания выполнения </w:t>
      </w:r>
      <w:r>
        <w:rPr>
          <w:rFonts w:ascii="Tinos" w:hAnsi="Tinos" w:eastAsia="Tinos" w:cs="Tinos"/>
          <w:sz w:val="28"/>
          <w:szCs w:val="28"/>
          <w:highlight w:val="none"/>
        </w:rPr>
        <w:t xml:space="preserve">экзаменационной работы</w:t>
      </w:r>
      <w:r>
        <w:rPr>
          <w:rFonts w:ascii="Tinos" w:hAnsi="Tinos" w:eastAsia="Tinos" w:cs="Tinos"/>
          <w:sz w:val="28"/>
          <w:szCs w:val="28"/>
          <w:highlight w:val="none"/>
        </w:rPr>
        <w:t xml:space="preserve"> организаторы должны сообщить участникам экзамена о скором завершении выполнения ЭР и напомнить о необходимости проверки корректности внесения и наличия сохранных ответов на задания </w:t>
      </w:r>
      <w:r>
        <w:rPr>
          <w:rFonts w:ascii="Tinos" w:hAnsi="Tinos" w:eastAsia="Tinos" w:cs="Tinos"/>
          <w:sz w:val="28"/>
          <w:szCs w:val="28"/>
          <w:highlight w:val="none"/>
        </w:rPr>
        <w:t xml:space="preserve">в</w:t>
      </w:r>
      <w:r>
        <w:rPr>
          <w:rFonts w:ascii="Tinos" w:hAnsi="Tinos" w:eastAsia="Tinos" w:cs="Tinos"/>
          <w:sz w:val="28"/>
          <w:szCs w:val="28"/>
          <w:highlight w:val="none"/>
        </w:rPr>
        <w:t xml:space="preserve"> ПО для сдачи экзамена.</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По истечении времени, отведенного на проведение экзамена, ответственный организатор должен объявить, что экзамен окончен, необходимо завершить экзамен на станции КЕГЭ и перенести контрольную сумму в бланк регистрации.</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В случае использования масштабированных до формата А3 бланков регистрации:</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организаторы в аудитории самостоятельно собирают у участников экзамена черновик КЕГЭ, черновики (при наличии), и запечатывают их в конверты. Бланки регистрации остаются на рабочих местах участников экзамена;</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в присутствии о</w:t>
      </w:r>
      <w:r>
        <w:rPr>
          <w:rFonts w:ascii="Tinos" w:hAnsi="Tinos" w:eastAsia="Tinos" w:cs="Tinos"/>
          <w:sz w:val="28"/>
          <w:szCs w:val="28"/>
          <w:highlight w:val="none"/>
        </w:rPr>
        <w:t xml:space="preserve">бщественных наблюдателей (при наличии) и члена ГЭК ассистенты переносят информацию, включая контрольную сумму, с масштабированных до формата А3 бланков регистрации на стандартные бланки регистрации (данное действие не входит в продолжительность экзамена), </w:t>
      </w:r>
      <w:r>
        <w:rPr>
          <w:rFonts w:ascii="Tinos" w:hAnsi="Tinos" w:eastAsia="Tinos" w:cs="Tinos"/>
          <w:sz w:val="28"/>
          <w:szCs w:val="28"/>
          <w:highlight w:val="none"/>
        </w:rPr>
        <w:t xml:space="preserve">приглашают организатора, который убеждается в правильности переноса контрольной суммы и удостоверяет данное действие своей подписью на бланке участника в специально отведённом поле.</w:t>
      </w:r>
      <w:r>
        <w:rPr>
          <w:rFonts w:ascii="Tinos" w:hAnsi="Tinos" w:eastAsia="Tinos" w:cs="Tinos"/>
          <w:sz w:val="28"/>
          <w:szCs w:val="28"/>
          <w:highlight w:val="none"/>
        </w:rPr>
        <w:t xml:space="preserve"> При переносе информации на бланк регистрации стандартного размера в поле «Подпись участника» ассистент пишет «Копия верна» и ставит свою подпись.</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По окончании переноса информации слабовидящих участников экзамена на бланки регистрации стандартного размера организатор в аудитории производит их сканирование и после экспорта пакета со станции организатора запечатывает бланки регистрации в стандартные </w:t>
      </w:r>
      <w:r>
        <w:rPr>
          <w:rFonts w:ascii="Tinos" w:hAnsi="Tinos" w:eastAsia="Tinos" w:cs="Tinos"/>
          <w:sz w:val="28"/>
          <w:szCs w:val="28"/>
          <w:highlight w:val="none"/>
        </w:rPr>
        <w:t xml:space="preserve">конверты</w:t>
      </w:r>
      <w:r>
        <w:rPr>
          <w:rFonts w:ascii="Tinos" w:hAnsi="Tinos" w:eastAsia="Tinos" w:cs="Tinos"/>
          <w:sz w:val="28"/>
          <w:szCs w:val="28"/>
          <w:highlight w:val="none"/>
        </w:rPr>
        <w:t xml:space="preserve">. Масштабированные бланки регистрации запечатываются в пакеты формата А3.</w:t>
      </w:r>
      <w:r>
        <w:rPr>
          <w:rFonts w:ascii="Tinos" w:hAnsi="Tinos" w:cs="Tinos"/>
          <w:sz w:val="28"/>
          <w:szCs w:val="28"/>
          <w:highlight w:val="none"/>
        </w:rPr>
      </w:r>
      <w:r>
        <w:rPr>
          <w:rFonts w:ascii="Tinos" w:hAnsi="Tinos" w:cs="Tinos"/>
          <w:sz w:val="28"/>
          <w:szCs w:val="28"/>
          <w:highlight w:val="none"/>
        </w:rPr>
      </w:r>
    </w:p>
    <w:p>
      <w:pPr>
        <w:pStyle w:val="993"/>
        <w:ind w:right="-1" w:firstLine="566"/>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По окончании переноса ответов слабовидящих участников экзамена на бланки стандартного размера организатор в аудитории формирует материалы по следующим</w:t>
      </w:r>
      <w:r>
        <w:rPr>
          <w:rFonts w:ascii="Tinos" w:hAnsi="Tinos" w:eastAsia="Tinos" w:cs="Tinos"/>
          <w:highlight w:val="none"/>
        </w:rPr>
        <w:t xml:space="preserve"> </w:t>
      </w:r>
      <w:r>
        <w:rPr>
          <w:rFonts w:ascii="Tinos" w:hAnsi="Tinos" w:eastAsia="Tinos" w:cs="Tinos"/>
          <w:sz w:val="28"/>
          <w:szCs w:val="28"/>
          <w:highlight w:val="none"/>
        </w:rPr>
        <w:t xml:space="preserve">категориям:</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 регистрации (стандартные);</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бланки</w:t>
      </w:r>
      <w:r>
        <w:rPr>
          <w:rFonts w:ascii="Tinos" w:hAnsi="Tinos" w:eastAsia="Tinos" w:cs="Tinos"/>
          <w:sz w:val="28"/>
          <w:szCs w:val="28"/>
          <w:highlight w:val="none"/>
        </w:rPr>
        <w:t xml:space="preserve"> </w:t>
      </w:r>
      <w:r>
        <w:rPr>
          <w:rFonts w:ascii="Tinos" w:hAnsi="Tinos" w:eastAsia="Tinos" w:cs="Tinos"/>
          <w:sz w:val="28"/>
          <w:szCs w:val="28"/>
          <w:highlight w:val="none"/>
        </w:rPr>
        <w:t xml:space="preserve">регистрации</w:t>
      </w:r>
      <w:r>
        <w:rPr>
          <w:rFonts w:ascii="Tinos" w:hAnsi="Tinos" w:eastAsia="Tinos" w:cs="Tinos"/>
          <w:sz w:val="28"/>
          <w:szCs w:val="28"/>
          <w:highlight w:val="none"/>
        </w:rPr>
        <w:t xml:space="preserve"> (</w:t>
      </w:r>
      <w:r>
        <w:rPr>
          <w:rFonts w:ascii="Tinos" w:hAnsi="Tinos" w:eastAsia="Tinos" w:cs="Tinos"/>
          <w:sz w:val="28"/>
          <w:szCs w:val="28"/>
          <w:highlight w:val="none"/>
        </w:rPr>
        <w:t xml:space="preserve">масштабированные</w:t>
      </w:r>
      <w:r>
        <w:rPr>
          <w:rFonts w:ascii="Tinos" w:hAnsi="Tinos" w:eastAsia="Tinos" w:cs="Tinos"/>
          <w:sz w:val="28"/>
          <w:szCs w:val="28"/>
          <w:highlight w:val="none"/>
        </w:rPr>
        <w:t xml:space="preserve">).</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Бланки стандартного размера запечатываются в стандартные </w:t>
      </w:r>
      <w:r>
        <w:rPr>
          <w:rFonts w:ascii="Tinos" w:hAnsi="Tinos" w:eastAsia="Tinos" w:cs="Tinos"/>
          <w:sz w:val="28"/>
          <w:szCs w:val="28"/>
          <w:highlight w:val="none"/>
        </w:rPr>
        <w:t xml:space="preserve">конверты</w:t>
      </w:r>
      <w:r>
        <w:rPr>
          <w:rFonts w:ascii="Tinos" w:hAnsi="Tinos" w:eastAsia="Tinos" w:cs="Tinos"/>
          <w:sz w:val="28"/>
          <w:szCs w:val="28"/>
          <w:highlight w:val="none"/>
        </w:rPr>
        <w:t xml:space="preserve">, масштабированные бланки регистрации запечатываются в пакеты формата А3.</w:t>
      </w:r>
      <w:r>
        <w:rPr>
          <w:rFonts w:ascii="Tinos" w:hAnsi="Tinos" w:cs="Tinos"/>
          <w:sz w:val="28"/>
          <w:szCs w:val="28"/>
          <w:highlight w:val="none"/>
        </w:rPr>
      </w:r>
      <w:r>
        <w:rPr>
          <w:rFonts w:ascii="Tinos" w:hAnsi="Tinos" w:cs="Tinos"/>
          <w:sz w:val="28"/>
          <w:szCs w:val="28"/>
          <w:highlight w:val="none"/>
        </w:rPr>
      </w:r>
    </w:p>
    <w:p>
      <w:pPr>
        <w:pStyle w:val="993"/>
        <w:ind w:right="-1" w:firstLine="566"/>
        <w:jc w:val="both"/>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rPr>
        <w:t xml:space="preserve">Организатор заполняет сопроводительный бланк на </w:t>
      </w:r>
      <w:r>
        <w:rPr>
          <w:rFonts w:ascii="Tinos" w:hAnsi="Tinos" w:eastAsia="Tinos" w:cs="Tinos"/>
          <w:sz w:val="28"/>
          <w:szCs w:val="28"/>
          <w:highlight w:val="none"/>
        </w:rPr>
        <w:t xml:space="preserve">конверте</w:t>
      </w:r>
      <w:r>
        <w:rPr>
          <w:rFonts w:ascii="Tinos" w:hAnsi="Tinos" w:eastAsia="Tinos" w:cs="Tinos"/>
          <w:sz w:val="28"/>
          <w:szCs w:val="28"/>
          <w:highlight w:val="none"/>
        </w:rPr>
        <w:t xml:space="preserve">, в котором отмечает информацию о регионе, ППЭ, аудитории, учебном предмете, количестве бланков регистрации в пакете, ответственном организаторе в аудитории</w:t>
      </w:r>
      <w:r>
        <w:rPr>
          <w:rFonts w:ascii="Tinos" w:hAnsi="Tinos" w:eastAsia="Tinos" w:cs="Tinos"/>
          <w:sz w:val="28"/>
          <w:szCs w:val="28"/>
          <w:highlight w:val="none"/>
        </w:rPr>
        <w:t xml:space="preserve">.</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Памятка для организатора в аудитории при проведении КЕГЭ для глухих, позднооглохших, </w:t>
      </w:r>
      <w:r>
        <w:rPr>
          <w:rFonts w:ascii="Tinos" w:hAnsi="Tinos" w:eastAsia="Tinos" w:cs="Tinos"/>
          <w:b/>
          <w:sz w:val="28"/>
          <w:szCs w:val="28"/>
          <w:highlight w:val="none"/>
          <w:lang w:val="ru-RU"/>
        </w:rPr>
        <w:t xml:space="preserve">кохлеарно</w:t>
      </w:r>
      <w:r>
        <w:rPr>
          <w:rFonts w:ascii="Tinos" w:hAnsi="Tinos" w:eastAsia="Tinos" w:cs="Tinos"/>
          <w:b/>
          <w:sz w:val="28"/>
          <w:szCs w:val="28"/>
          <w:highlight w:val="none"/>
          <w:lang w:val="ru-RU"/>
        </w:rPr>
        <w:t xml:space="preserve"> имплантированных и слабослышащих участников экзамена</w:t>
      </w:r>
      <w:r>
        <w:rPr>
          <w:rFonts w:ascii="Tinos" w:hAnsi="Tinos" w:eastAsia="Tinos" w:cs="Tinos"/>
          <w:b/>
          <w:sz w:val="28"/>
          <w:szCs w:val="28"/>
          <w:highlight w:val="none"/>
          <w:lang w:val="ru-RU"/>
        </w:rPr>
        <w:t xml:space="preserve">.</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w:t>
      </w:r>
      <w:r>
        <w:rPr>
          <w:rFonts w:ascii="Tinos" w:hAnsi="Tinos" w:eastAsia="Tinos" w:cs="Tinos"/>
          <w:sz w:val="28"/>
          <w:szCs w:val="28"/>
          <w:highlight w:val="none"/>
          <w:lang w:val="ru-RU"/>
        </w:rPr>
        <w:t xml:space="preserve">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b/>
          <w:sz w:val="28"/>
          <w:szCs w:val="28"/>
          <w:highlight w:val="none"/>
        </w:rPr>
      </w:pPr>
      <w:r>
        <w:rPr>
          <w:rFonts w:ascii="Tinos" w:hAnsi="Tinos" w:eastAsia="Tinos" w:cs="Tinos"/>
          <w:b/>
          <w:sz w:val="28"/>
          <w:szCs w:val="28"/>
          <w:highlight w:val="none"/>
          <w:lang w:val="ru-RU"/>
        </w:rPr>
        <w:t xml:space="preserve">Перед началом экзамена организаторы в аудитории должны:</w:t>
      </w:r>
      <w:r>
        <w:rPr>
          <w:rFonts w:ascii="Tinos" w:hAnsi="Tinos" w:cs="Tinos"/>
          <w:b/>
          <w:sz w:val="28"/>
          <w:szCs w:val="28"/>
          <w:highlight w:val="none"/>
        </w:rPr>
      </w:r>
      <w:r>
        <w:rPr>
          <w:rFonts w:ascii="Tinos" w:hAnsi="Tinos" w:cs="Tinos"/>
          <w:b/>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b/>
          <w:sz w:val="28"/>
          <w:szCs w:val="28"/>
          <w:highlight w:val="none"/>
          <w:lang w:val="ru-RU"/>
        </w:rPr>
        <w:t xml:space="preserve">н</w:t>
      </w:r>
      <w:r>
        <w:rPr>
          <w:rFonts w:ascii="Tinos" w:hAnsi="Tinos" w:eastAsia="Tinos" w:cs="Tinos"/>
          <w:b/>
          <w:sz w:val="28"/>
          <w:szCs w:val="28"/>
          <w:highlight w:val="none"/>
          <w:lang w:val="ru-RU"/>
        </w:rPr>
        <w:t xml:space="preserve">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45 минут до начала экзамена</w:t>
      </w:r>
      <w:r>
        <w:rPr>
          <w:rFonts w:ascii="Tinos" w:hAnsi="Tinos" w:eastAsia="Tinos" w:cs="Tinos"/>
          <w:sz w:val="28"/>
          <w:szCs w:val="28"/>
          <w:highlight w:val="none"/>
          <w:lang w:val="ru-RU"/>
        </w:rPr>
        <w:t xml:space="preserve"> получить у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стандартные формы;</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КЕГЭ по одному комплекту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(выдаются по запросу участника, если недостаточно черновика КЕГЭ);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w:t>
      </w:r>
      <w:r>
        <w:rPr>
          <w:rFonts w:ascii="Tinos" w:hAnsi="Tinos" w:eastAsia="Tinos" w:cs="Tinos"/>
          <w:sz w:val="28"/>
          <w:szCs w:val="28"/>
          <w:highlight w:val="none"/>
          <w:lang w:val="ru-RU"/>
        </w:rPr>
        <w:t xml:space="preserve">Станци</w:t>
      </w:r>
      <w:r>
        <w:rPr>
          <w:rFonts w:ascii="Tinos" w:hAnsi="Tinos" w:eastAsia="Tinos" w:cs="Tinos"/>
          <w:sz w:val="28"/>
          <w:szCs w:val="28"/>
          <w:highlight w:val="none"/>
          <w:lang w:val="ru-RU"/>
        </w:rPr>
        <w:t xml:space="preserve">и</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(д</w:t>
      </w:r>
      <w:r>
        <w:rPr>
          <w:rFonts w:ascii="Tinos" w:hAnsi="Tinos" w:eastAsia="Tinos" w:cs="Tinos"/>
          <w:sz w:val="28"/>
          <w:szCs w:val="28"/>
          <w:highlight w:val="none"/>
          <w:lang w:val="ru-RU"/>
        </w:rPr>
        <w:t xml:space="preserve">ля соответствующих компьютеров);</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идентификацию личности по документу, удостоверяющего личность ассистента, с выданной формой при входе ассистента в аудиторию</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Участники экзамена могут взять с собой на отведенное место в аудитории слуховой аппарат.</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день проведения экзамена до начала экзамена проверяется качество звукоусиливающей аппаратуры как коллективного, так и индивидуального использования.</w:t>
      </w:r>
      <w:r>
        <w:rPr>
          <w:rFonts w:ascii="Tinos" w:hAnsi="Tinos" w:cs="Tinos"/>
          <w:sz w:val="28"/>
          <w:szCs w:val="28"/>
          <w:highlight w:val="none"/>
        </w:rPr>
        <w:br w:type="page" w:clear="all"/>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Памятка для организатора в аудитории при проведении КЕГЭ для участников экзамена с нарушениями опорно-двигательного аппарата.</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Перед началом экзамена организаторы в аудитории </w:t>
      </w:r>
      <w:r>
        <w:rPr>
          <w:rFonts w:ascii="Tinos" w:hAnsi="Tinos" w:eastAsia="Tinos" w:cs="Tinos"/>
          <w:sz w:val="28"/>
          <w:szCs w:val="28"/>
          <w:highlight w:val="none"/>
          <w:lang w:val="ru-RU"/>
        </w:rPr>
        <w:t xml:space="preserve">должны:</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b/>
          <w:sz w:val="28"/>
          <w:szCs w:val="28"/>
          <w:highlight w:val="none"/>
          <w:lang w:val="ru-RU"/>
        </w:rPr>
        <w:t xml:space="preserve">н</w:t>
      </w:r>
      <w:r>
        <w:rPr>
          <w:rFonts w:ascii="Tinos" w:hAnsi="Tinos" w:eastAsia="Tinos" w:cs="Tinos"/>
          <w:b/>
          <w:sz w:val="28"/>
          <w:szCs w:val="28"/>
          <w:highlight w:val="none"/>
          <w:lang w:val="ru-RU"/>
        </w:rPr>
        <w:t xml:space="preserve">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45 минут до начала экзамена</w:t>
      </w:r>
      <w:r>
        <w:rPr>
          <w:rFonts w:ascii="Tinos" w:hAnsi="Tinos" w:eastAsia="Tinos" w:cs="Tinos"/>
          <w:sz w:val="28"/>
          <w:szCs w:val="28"/>
          <w:highlight w:val="none"/>
          <w:lang w:val="ru-RU"/>
        </w:rPr>
        <w:t xml:space="preserve"> получить у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стандартные формы;</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участника КЕГЭ по одному комплекту на каждого участника экзамена (при необходимости может быть выполнено масштабирование);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(выдаются по запросу участника, если недостаточно черновика участника КЕГЭ);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приложения к паспорту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Станция</w:t>
      </w:r>
      <w:r>
        <w:rPr>
          <w:rFonts w:ascii="Tinos" w:hAnsi="Tinos" w:eastAsia="Tinos" w:cs="Tinos"/>
          <w:sz w:val="28"/>
          <w:szCs w:val="28"/>
          <w:highlight w:val="none"/>
          <w:lang w:val="ru-RU"/>
        </w:rPr>
        <w:t xml:space="preserve"> КЕГЭ»</w:t>
      </w:r>
      <w:r>
        <w:rPr>
          <w:rFonts w:ascii="Tinos" w:hAnsi="Tinos" w:eastAsia="Tinos" w:cs="Tinos"/>
          <w:sz w:val="28"/>
          <w:szCs w:val="28"/>
          <w:highlight w:val="none"/>
          <w:lang w:val="ru-RU"/>
        </w:rPr>
        <w:t xml:space="preserve"> (при необходимости может быть выполнено масштабирование)</w:t>
      </w:r>
      <w:r>
        <w:rPr>
          <w:rFonts w:ascii="Tinos" w:hAnsi="Tinos" w:eastAsia="Tinos" w:cs="Tinos"/>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идентификацию личности по документу, удостоверяющего личность ассистента, с выданной формой при входе ассистента в аудиторию. </w:t>
      </w:r>
      <w:r>
        <w:rPr>
          <w:rFonts w:ascii="Tinos" w:hAnsi="Tinos" w:cs="Tinos"/>
          <w:sz w:val="28"/>
          <w:szCs w:val="28"/>
          <w:highlight w:val="none"/>
        </w:rPr>
      </w:r>
      <w:r>
        <w:rPr>
          <w:rFonts w:ascii="Tinos" w:hAnsi="Tinos" w:cs="Tinos"/>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В день проведения экзамена до начала экзамена ассистенты участников в присутствии технического специалиста выполняют настройку параметров операционной системы и используемого оборудования (специальные периферические устройства вво</w:t>
      </w:r>
      <w:r>
        <w:rPr>
          <w:rFonts w:ascii="Tinos" w:hAnsi="Tinos" w:eastAsia="Tinos" w:cs="Tinos"/>
          <w:sz w:val="28"/>
          <w:szCs w:val="28"/>
          <w:highlight w:val="none"/>
          <w:lang w:val="ru-RU"/>
        </w:rPr>
        <w:t xml:space="preserve">да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r>
        <w:rPr>
          <w:rFonts w:ascii="Tinos" w:hAnsi="Tinos" w:cs="Tinos"/>
          <w:sz w:val="28"/>
          <w:szCs w:val="28"/>
          <w:highlight w:val="none"/>
        </w:rPr>
      </w:r>
      <w:r>
        <w:rPr>
          <w:rFonts w:ascii="Tinos" w:hAnsi="Tinos" w:cs="Tinos"/>
          <w:sz w:val="28"/>
          <w:szCs w:val="28"/>
          <w:highlight w:val="none"/>
        </w:rPr>
      </w:r>
    </w:p>
    <w:p>
      <w:pPr>
        <w:ind w:right="0"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r>
      <w:r>
        <w:rPr>
          <w:rFonts w:ascii="Tinos" w:hAnsi="Tinos" w:cs="Tinos"/>
          <w:sz w:val="28"/>
          <w:szCs w:val="28"/>
          <w:highlight w:val="none"/>
        </w:rPr>
      </w:r>
      <w:r>
        <w:rPr>
          <w:rFonts w:ascii="Tinos" w:hAnsi="Tinos" w:cs="Tinos"/>
          <w:sz w:val="28"/>
          <w:szCs w:val="28"/>
          <w:highlight w:val="none"/>
        </w:rPr>
      </w:r>
    </w:p>
    <w:p>
      <w:pPr>
        <w:pStyle w:val="1003"/>
        <w:numPr>
          <w:ilvl w:val="2"/>
          <w:numId w:val="1"/>
        </w:numPr>
        <w:ind w:left="0" w:right="-1" w:firstLine="709"/>
        <w:spacing w:before="0" w:beforeAutospacing="0" w:after="0" w:afterAutospacing="0" w:line="240" w:lineRule="auto"/>
        <w:tabs>
          <w:tab w:val="left" w:pos="1418" w:leader="none"/>
          <w:tab w:val="left" w:pos="1701" w:leader="none"/>
        </w:tabs>
        <w:rPr>
          <w:rFonts w:ascii="Tinos" w:hAnsi="Tinos" w:cs="Tinos"/>
          <w:b/>
          <w:sz w:val="28"/>
          <w:szCs w:val="28"/>
          <w:highlight w:val="none"/>
        </w:rPr>
      </w:pPr>
      <w:r>
        <w:rPr>
          <w:rFonts w:ascii="Tinos" w:hAnsi="Tinos" w:eastAsia="Tinos" w:cs="Tinos"/>
          <w:b/>
          <w:sz w:val="28"/>
          <w:szCs w:val="28"/>
          <w:highlight w:val="none"/>
          <w:lang w:val="ru-RU"/>
        </w:rPr>
        <w:t xml:space="preserve">Памятка для организатора в аудитории при проведении КЕГЭ для участников экзамена прочих категорий.</w:t>
      </w:r>
      <w:r>
        <w:rPr>
          <w:rFonts w:ascii="Tinos" w:hAnsi="Tinos" w:cs="Tinos"/>
          <w:b/>
          <w:sz w:val="28"/>
          <w:szCs w:val="28"/>
          <w:highlight w:val="none"/>
        </w:rPr>
      </w:r>
      <w:r>
        <w:rPr>
          <w:rFonts w:ascii="Tinos" w:hAnsi="Tinos" w:cs="Tinos"/>
          <w:b/>
          <w:sz w:val="28"/>
          <w:szCs w:val="28"/>
          <w:highlight w:val="none"/>
        </w:rPr>
      </w:r>
    </w:p>
    <w:p>
      <w:pPr>
        <w:ind w:right="13"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r>
        <w:rPr>
          <w:rFonts w:ascii="Tinos" w:hAnsi="Tinos" w:cs="Tinos"/>
          <w:sz w:val="28"/>
          <w:szCs w:val="28"/>
          <w:highlight w:val="none"/>
        </w:rPr>
      </w:r>
      <w:r>
        <w:rPr>
          <w:rFonts w:ascii="Tinos" w:hAnsi="Tinos" w:cs="Tinos"/>
          <w:sz w:val="28"/>
          <w:szCs w:val="28"/>
          <w:highlight w:val="none"/>
        </w:rPr>
      </w:r>
    </w:p>
    <w:p>
      <w:pPr>
        <w:ind w:right="3" w:firstLine="709"/>
        <w:spacing w:before="0" w:beforeAutospacing="0" w:after="0" w:afterAutospacing="0" w:line="240" w:lineRule="auto"/>
        <w:rPr>
          <w:rFonts w:ascii="Tinos" w:hAnsi="Tinos" w:cs="Tinos"/>
          <w:sz w:val="28"/>
          <w:szCs w:val="28"/>
          <w:highlight w:val="none"/>
        </w:rPr>
      </w:pPr>
      <w:r>
        <w:rPr>
          <w:rFonts w:ascii="Tinos" w:hAnsi="Tinos" w:eastAsia="Tinos" w:cs="Tinos"/>
          <w:b/>
          <w:sz w:val="28"/>
          <w:szCs w:val="28"/>
          <w:highlight w:val="none"/>
          <w:lang w:val="ru-RU"/>
        </w:rPr>
        <w:t xml:space="preserve">Перед началом экзамена организаторы в аудитории </w:t>
      </w:r>
      <w:r>
        <w:rPr>
          <w:rFonts w:ascii="Tinos" w:hAnsi="Tinos" w:eastAsia="Tinos" w:cs="Tinos"/>
          <w:sz w:val="28"/>
          <w:szCs w:val="28"/>
          <w:highlight w:val="none"/>
          <w:lang w:val="ru-RU"/>
        </w:rPr>
        <w:t xml:space="preserve">должны</w:t>
      </w:r>
      <w:r>
        <w:rPr>
          <w:rFonts w:ascii="Tinos" w:hAnsi="Tinos" w:eastAsia="Tinos" w:cs="Tinos"/>
          <w:b/>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b/>
          <w:sz w:val="28"/>
          <w:szCs w:val="28"/>
          <w:highlight w:val="none"/>
          <w:lang w:val="ru-RU"/>
        </w:rPr>
        <w:t xml:space="preserve">н</w:t>
      </w:r>
      <w:r>
        <w:rPr>
          <w:rFonts w:ascii="Tinos" w:hAnsi="Tinos" w:eastAsia="Tinos" w:cs="Tinos"/>
          <w:b/>
          <w:sz w:val="28"/>
          <w:szCs w:val="28"/>
          <w:highlight w:val="none"/>
          <w:lang w:val="ru-RU"/>
        </w:rPr>
        <w:t xml:space="preserve">е </w:t>
      </w:r>
      <w:r>
        <w:rPr>
          <w:rFonts w:ascii="Tinos" w:hAnsi="Tinos" w:eastAsia="Tinos" w:cs="Tinos"/>
          <w:b/>
          <w:sz w:val="28"/>
          <w:szCs w:val="28"/>
          <w:highlight w:val="none"/>
          <w:lang w:val="ru-RU"/>
        </w:rPr>
        <w:t xml:space="preserve">позднее</w:t>
      </w:r>
      <w:r>
        <w:rPr>
          <w:rFonts w:ascii="Tinos" w:hAnsi="Tinos" w:eastAsia="Tinos" w:cs="Tinos"/>
          <w:b/>
          <w:sz w:val="28"/>
          <w:szCs w:val="28"/>
          <w:highlight w:val="none"/>
          <w:lang w:val="ru-RU"/>
        </w:rPr>
        <w:t xml:space="preserve"> чем за 45 минут до начала экзамена</w:t>
      </w:r>
      <w:r>
        <w:rPr>
          <w:rFonts w:ascii="Tinos" w:hAnsi="Tinos" w:eastAsia="Tinos" w:cs="Tinos"/>
          <w:sz w:val="28"/>
          <w:szCs w:val="28"/>
          <w:highlight w:val="none"/>
          <w:lang w:val="ru-RU"/>
        </w:rPr>
        <w:t xml:space="preserve"> получить у руководителя ППЭ:</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стандартные формы;</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 участника КЕГЭ по одному комплекту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черновики (выдаются по запросу участника, если недостаточно черновика КЕГЭ);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инструкции по использованию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w:t>
      </w:r>
      <w:r>
        <w:rPr>
          <w:rFonts w:ascii="Tinos" w:hAnsi="Tinos" w:eastAsia="Tinos" w:cs="Tinos"/>
          <w:sz w:val="28"/>
          <w:szCs w:val="28"/>
          <w:highlight w:val="none"/>
          <w:lang w:val="ru-RU"/>
        </w:rPr>
        <w:t xml:space="preserve">для</w:t>
      </w:r>
      <w:r>
        <w:rPr>
          <w:rFonts w:ascii="Tinos" w:hAnsi="Tinos" w:eastAsia="Tinos" w:cs="Tinos"/>
          <w:sz w:val="28"/>
          <w:szCs w:val="28"/>
          <w:highlight w:val="none"/>
          <w:lang w:val="ru-RU"/>
        </w:rPr>
        <w:t xml:space="preserve"> сдачи КЕГЭ (на каждого участника экзамена); </w:t>
      </w:r>
      <w:r>
        <w:rPr>
          <w:rFonts w:ascii="Tinos" w:hAnsi="Tinos" w:cs="Tinos"/>
          <w:sz w:val="28"/>
          <w:szCs w:val="28"/>
          <w:highlight w:val="none"/>
        </w:rPr>
      </w:r>
      <w:r>
        <w:rPr>
          <w:rFonts w:ascii="Tinos" w:hAnsi="Tinos" w:cs="Tinos"/>
          <w:sz w:val="28"/>
          <w:szCs w:val="28"/>
          <w:highlight w:val="none"/>
        </w:rPr>
      </w:r>
    </w:p>
    <w:p>
      <w:pPr>
        <w:pStyle w:val="1003"/>
        <w:numPr>
          <w:ilvl w:val="0"/>
          <w:numId w:val="17"/>
        </w:numPr>
        <w:ind w:left="0" w:right="13" w:firstLine="709"/>
        <w:spacing w:before="0" w:beforeAutospacing="0" w:after="0" w:afterAutospacing="0" w:line="240" w:lineRule="auto"/>
        <w:tabs>
          <w:tab w:val="left" w:pos="993" w:leader="none"/>
        </w:tabs>
        <w:rPr>
          <w:rFonts w:ascii="Tinos" w:hAnsi="Tinos" w:cs="Tinos"/>
          <w:sz w:val="28"/>
          <w:szCs w:val="28"/>
          <w:highlight w:val="none"/>
        </w:rPr>
      </w:pPr>
      <w:r>
        <w:rPr>
          <w:rFonts w:ascii="Tinos" w:hAnsi="Tinos" w:eastAsia="Tinos" w:cs="Tinos"/>
          <w:sz w:val="28"/>
          <w:szCs w:val="28"/>
          <w:highlight w:val="none"/>
          <w:lang w:val="ru-RU"/>
        </w:rPr>
        <w:t xml:space="preserve">п</w:t>
      </w:r>
      <w:r>
        <w:rPr>
          <w:rFonts w:ascii="Tinos" w:hAnsi="Tinos" w:eastAsia="Tinos" w:cs="Tinos"/>
          <w:sz w:val="28"/>
          <w:szCs w:val="28"/>
          <w:highlight w:val="none"/>
          <w:lang w:val="ru-RU"/>
        </w:rPr>
        <w:t xml:space="preserve">риложения к паспорту </w:t>
      </w:r>
      <w:r>
        <w:rPr>
          <w:rFonts w:ascii="Tinos" w:hAnsi="Tinos" w:eastAsia="Tinos" w:cs="Tinos"/>
          <w:sz w:val="28"/>
          <w:szCs w:val="28"/>
          <w:highlight w:val="none"/>
          <w:lang w:val="ru-RU"/>
        </w:rPr>
        <w:t xml:space="preserve">ПО</w:t>
      </w:r>
      <w:r>
        <w:rPr>
          <w:rFonts w:ascii="Tinos" w:hAnsi="Tinos" w:eastAsia="Tinos" w:cs="Tinos"/>
          <w:sz w:val="28"/>
          <w:szCs w:val="28"/>
          <w:highlight w:val="none"/>
          <w:lang w:val="ru-RU"/>
        </w:rPr>
        <w:t xml:space="preserve"> «Станция КЕГЭ»</w:t>
      </w:r>
      <w:r>
        <w:rPr>
          <w:rFonts w:ascii="Tinos" w:hAnsi="Tinos" w:eastAsia="Tinos" w:cs="Tinos"/>
          <w:sz w:val="28"/>
          <w:szCs w:val="28"/>
          <w:highlight w:val="none"/>
          <w:lang w:val="ru-RU"/>
        </w:rPr>
        <w:t xml:space="preserve"> (для соответствующих компьютеров).</w:t>
      </w:r>
      <w:r>
        <w:rPr>
          <w:rFonts w:ascii="Tinos" w:hAnsi="Tinos" w:cs="Tinos"/>
          <w:sz w:val="28"/>
          <w:szCs w:val="28"/>
          <w:highlight w:val="none"/>
        </w:rPr>
      </w:r>
      <w:r>
        <w:rPr>
          <w:rFonts w:ascii="Tinos" w:hAnsi="Tinos" w:cs="Tinos"/>
          <w:sz w:val="28"/>
          <w:szCs w:val="28"/>
          <w:highlight w:val="none"/>
        </w:rPr>
      </w:r>
    </w:p>
    <w:p>
      <w:pPr>
        <w:pStyle w:val="1003"/>
        <w:numPr>
          <w:ilvl w:val="0"/>
          <w:numId w:val="15"/>
        </w:numPr>
        <w:ind w:left="0" w:right="0" w:firstLine="709"/>
        <w:spacing w:before="0" w:beforeAutospacing="0" w:after="0" w:afterAutospacing="0" w:line="240" w:lineRule="auto"/>
        <w:tabs>
          <w:tab w:val="left" w:pos="993" w:leader="none"/>
          <w:tab w:val="left" w:pos="1134" w:leader="none"/>
        </w:tabs>
        <w:rPr>
          <w:rFonts w:ascii="Tinos" w:hAnsi="Tinos" w:cs="Tinos"/>
          <w:sz w:val="28"/>
          <w:szCs w:val="28"/>
          <w:highlight w:val="none"/>
        </w:rPr>
      </w:pPr>
      <w:r>
        <w:rPr>
          <w:rFonts w:ascii="Tinos" w:hAnsi="Tinos" w:eastAsia="Tinos" w:cs="Tinos"/>
          <w:sz w:val="28"/>
          <w:szCs w:val="28"/>
          <w:highlight w:val="none"/>
          <w:lang w:val="ru-RU"/>
        </w:rPr>
        <w:t xml:space="preserve">провести идентификацию личности по документу, удостоверяющего личнос</w:t>
      </w:r>
      <w:r>
        <w:rPr>
          <w:rFonts w:ascii="Tinos" w:hAnsi="Tinos" w:eastAsia="Tinos" w:cs="Tinos"/>
          <w:sz w:val="28"/>
          <w:szCs w:val="28"/>
          <w:highlight w:val="none"/>
          <w:lang w:val="ru-RU"/>
        </w:rPr>
        <w:t xml:space="preserve">ть ассистента, с выданной формой при входе ассистента в аудиторию. </w:t>
      </w:r>
      <w:r>
        <w:rPr>
          <w:rFonts w:ascii="Tinos" w:hAnsi="Tinos" w:cs="Tinos"/>
          <w:sz w:val="28"/>
          <w:szCs w:val="28"/>
          <w:highlight w:val="none"/>
        </w:rPr>
      </w:r>
      <w:r>
        <w:rPr>
          <w:rFonts w:ascii="Tinos" w:hAnsi="Tinos" w:cs="Tinos"/>
          <w:sz w:val="28"/>
          <w:szCs w:val="28"/>
          <w:highlight w:val="none"/>
        </w:rPr>
      </w:r>
    </w:p>
    <w:p>
      <w:pPr>
        <w:ind w:left="567" w:right="0" w:firstLine="0"/>
        <w:jc w:val="left"/>
        <w:spacing w:before="0" w:beforeAutospacing="0" w:after="0" w:afterAutospacing="0" w:line="240" w:lineRule="auto"/>
        <w:rPr>
          <w:rFonts w:ascii="Tinos" w:hAnsi="Tinos" w:cs="Tinos"/>
          <w:highlight w:val="none"/>
        </w:rPr>
      </w:pPr>
      <w:r>
        <w:rPr>
          <w:rFonts w:ascii="Tinos" w:hAnsi="Tinos" w:eastAsia="Tinos" w:cs="Tinos"/>
          <w:highlight w:val="none"/>
          <w:lang w:val="ru-RU"/>
        </w:rPr>
      </w:r>
      <w:r>
        <w:rPr>
          <w:rFonts w:ascii="Tinos" w:hAnsi="Tinos" w:cs="Tinos"/>
          <w:highlight w:val="none"/>
        </w:rPr>
      </w:r>
      <w:r>
        <w:rPr>
          <w:rFonts w:ascii="Tinos" w:hAnsi="Tinos" w:cs="Tinos"/>
          <w:highlight w:val="none"/>
        </w:rPr>
      </w:r>
    </w:p>
    <w:p>
      <w:pPr>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Т</w:t>
      </w:r>
      <w:r>
        <w:rPr>
          <w:rFonts w:ascii="Tinos" w:hAnsi="Tinos" w:eastAsia="Tinos" w:cs="Tinos"/>
          <w:sz w:val="28"/>
          <w:szCs w:val="28"/>
          <w:highlight w:val="none"/>
          <w:lang w:val="ru-RU"/>
        </w:rPr>
        <w:t xml:space="preserve">ехнические требования и рекомендуемые параметры настройки рабочего места участника КЕГЭ для лиц с ОВЗ, детей-инвалидов и инвалидов</w:t>
      </w:r>
      <w:r>
        <w:rPr>
          <w:rFonts w:ascii="Tinos" w:hAnsi="Tinos" w:eastAsia="Tinos" w:cs="Tinos"/>
          <w:i/>
          <w:sz w:val="28"/>
          <w:szCs w:val="28"/>
          <w:highlight w:val="none"/>
          <w:lang w:val="ru-RU"/>
        </w:rPr>
        <w:t xml:space="preserve">.</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Рабочее место участника КЕГЭ для лиц с ОВЗ, детей-инвалидов и инвалидов должно быть о</w:t>
      </w:r>
      <w:r>
        <w:rPr>
          <w:rFonts w:ascii="Tinos" w:hAnsi="Tinos" w:eastAsia="Tinos" w:cs="Tinos"/>
          <w:sz w:val="28"/>
          <w:szCs w:val="28"/>
          <w:highlight w:val="none"/>
        </w:rPr>
        <w:t xml:space="preserve">борудовано компьютером (ноутбуком), удовлетворяющим следующим техническим требованиям: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b/>
          <w:bCs/>
          <w:sz w:val="28"/>
          <w:szCs w:val="28"/>
          <w:highlight w:val="none"/>
        </w:rPr>
        <w:t xml:space="preserve">Для слепых и слабовидящих участников экзамена, использующих рельефно-точечный шрифт Брайля для чтения текстов заданий к КИМ (версия для участников с ОВЗ (расширенные настройки):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b/>
          <w:bCs/>
          <w:sz w:val="28"/>
          <w:szCs w:val="28"/>
          <w:highlight w:val="none"/>
        </w:rPr>
        <w:t xml:space="preserve">Технические требования: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Процессор: количество ядер: от 4; частота: от 2,0 ГГц.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Оперативная память: от 8 Гбайт; доступная (свободная) память для работы ПО (неиспользуемая прочими приложениями): не менее 1 Гбайт.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Свободное дисковое пространство: от 100 Гбайт; не менее 20% от общего объема жесткого диска.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Прочее оборудование: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Звуковая карта.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sz w:val="28"/>
          <w:szCs w:val="28"/>
          <w:highlight w:val="none"/>
        </w:rPr>
      </w:pPr>
      <w:r>
        <w:rPr>
          <w:rFonts w:ascii="Tinos" w:hAnsi="Tinos" w:eastAsia="Tinos" w:cs="Tinos"/>
          <w:sz w:val="28"/>
          <w:szCs w:val="28"/>
          <w:highlight w:val="none"/>
        </w:rPr>
        <w:t xml:space="preserve">Наушники или </w:t>
      </w:r>
      <w:r>
        <w:rPr>
          <w:rFonts w:ascii="Tinos" w:hAnsi="Tinos" w:eastAsia="Tinos" w:cs="Tinos"/>
          <w:sz w:val="28"/>
          <w:szCs w:val="28"/>
          <w:highlight w:val="none"/>
        </w:rPr>
        <w:t xml:space="preserve">аудиогарнитура</w:t>
      </w:r>
      <w:r>
        <w:rPr>
          <w:rFonts w:ascii="Tinos" w:hAnsi="Tinos" w:eastAsia="Tinos" w:cs="Tinos"/>
          <w:sz w:val="28"/>
          <w:szCs w:val="28"/>
          <w:highlight w:val="none"/>
        </w:rPr>
        <w:t xml:space="preserve">. </w:t>
      </w:r>
      <w:r>
        <w:rPr>
          <w:rFonts w:ascii="Tinos" w:hAnsi="Tinos" w:cs="Tinos"/>
          <w:sz w:val="28"/>
          <w:szCs w:val="28"/>
          <w:highlight w:val="none"/>
        </w:rPr>
      </w:r>
      <w:r>
        <w:rPr>
          <w:rFonts w:ascii="Tinos" w:hAnsi="Tinos" w:cs="Tinos"/>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Видеокарта и монитор: разрешение не менее 1280 по горизонтали, не менее 1024 по вертикали; диагональ экрана: от 13 дюймов для ноутбуков, от 15 дюймов мониторов и моноблоков.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Внешний интерфейс: USB 2.0 и выше, рекомендуется не ниже USB 3.0, а также не менее двух свободных портов.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Манипулятор «мышь».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Клавиатура с рельефной маркировкой клавиш основного ряда (клавиши «А» и «О»).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Портативный тактильный дисплей Брайля типа </w:t>
      </w:r>
      <w:r>
        <w:rPr>
          <w:rFonts w:ascii="Tinos" w:hAnsi="Tinos" w:eastAsia="Tinos" w:cs="Tinos"/>
          <w:color w:val="auto"/>
          <w:sz w:val="28"/>
          <w:szCs w:val="28"/>
          <w:highlight w:val="none"/>
        </w:rPr>
        <w:t xml:space="preserve">Focus</w:t>
      </w:r>
      <w:r>
        <w:rPr>
          <w:rFonts w:ascii="Tinos" w:hAnsi="Tinos" w:eastAsia="Tinos" w:cs="Tinos"/>
          <w:color w:val="auto"/>
          <w:sz w:val="28"/>
          <w:szCs w:val="28"/>
          <w:highlight w:val="none"/>
        </w:rPr>
        <w:t xml:space="preserve"> 40 </w:t>
      </w:r>
      <w:r>
        <w:rPr>
          <w:rFonts w:ascii="Tinos" w:hAnsi="Tinos" w:eastAsia="Tinos" w:cs="Tinos"/>
          <w:color w:val="auto"/>
          <w:sz w:val="28"/>
          <w:szCs w:val="28"/>
          <w:highlight w:val="none"/>
        </w:rPr>
        <w:t xml:space="preserve">Blue</w:t>
      </w:r>
      <w:r>
        <w:rPr>
          <w:rFonts w:ascii="Tinos" w:hAnsi="Tinos" w:eastAsia="Tinos" w:cs="Tinos"/>
          <w:color w:val="auto"/>
          <w:sz w:val="28"/>
          <w:szCs w:val="28"/>
          <w:highlight w:val="none"/>
        </w:rPr>
        <w:t xml:space="preserve"> или его аналог.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b/>
          <w:bCs/>
          <w:color w:val="auto"/>
          <w:sz w:val="28"/>
          <w:szCs w:val="28"/>
          <w:highlight w:val="none"/>
        </w:rPr>
        <w:t xml:space="preserve">Программное обеспечение: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Операционные системы: </w:t>
      </w:r>
      <w:r>
        <w:rPr>
          <w:rFonts w:ascii="Tinos" w:hAnsi="Tinos" w:eastAsia="Tinos" w:cs="Tinos"/>
          <w:color w:val="auto"/>
          <w:sz w:val="28"/>
          <w:szCs w:val="28"/>
          <w:highlight w:val="none"/>
        </w:rPr>
        <w:t xml:space="preserve">Windows</w:t>
      </w:r>
      <w:r>
        <w:rPr>
          <w:rFonts w:ascii="Tinos" w:hAnsi="Tinos" w:eastAsia="Tinos" w:cs="Tinos"/>
          <w:color w:val="auto"/>
          <w:sz w:val="28"/>
          <w:szCs w:val="28"/>
          <w:highlight w:val="none"/>
        </w:rPr>
        <w:t xml:space="preserve"> 8.1/10 (сборка 1607 и выше) платформы: x64.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ПО, </w:t>
      </w:r>
      <w:r>
        <w:rPr>
          <w:rFonts w:ascii="Tinos" w:hAnsi="Tinos" w:eastAsia="Tinos" w:cs="Tinos"/>
          <w:color w:val="auto"/>
          <w:sz w:val="28"/>
          <w:szCs w:val="28"/>
          <w:highlight w:val="none"/>
        </w:rPr>
        <w:t xml:space="preserve">предоставляемое</w:t>
      </w:r>
      <w:r>
        <w:rPr>
          <w:rFonts w:ascii="Tinos" w:hAnsi="Tinos" w:eastAsia="Tinos" w:cs="Tinos"/>
          <w:color w:val="auto"/>
          <w:sz w:val="28"/>
          <w:szCs w:val="28"/>
          <w:highlight w:val="none"/>
        </w:rPr>
        <w:t xml:space="preserve">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C#, C++, </w:t>
      </w:r>
      <w:r>
        <w:rPr>
          <w:rFonts w:ascii="Tinos" w:hAnsi="Tinos" w:eastAsia="Tinos" w:cs="Tinos"/>
          <w:color w:val="auto"/>
          <w:sz w:val="28"/>
          <w:szCs w:val="28"/>
          <w:highlight w:val="none"/>
        </w:rPr>
        <w:t xml:space="preserve">Pascal</w:t>
      </w:r>
      <w:r>
        <w:rPr>
          <w:rFonts w:ascii="Tinos" w:hAnsi="Tinos" w:eastAsia="Tinos" w:cs="Tinos"/>
          <w:color w:val="auto"/>
          <w:sz w:val="28"/>
          <w:szCs w:val="28"/>
          <w:highlight w:val="none"/>
        </w:rPr>
        <w:t xml:space="preserve">, </w:t>
      </w:r>
      <w:r>
        <w:rPr>
          <w:rFonts w:ascii="Tinos" w:hAnsi="Tinos" w:eastAsia="Tinos" w:cs="Tinos"/>
          <w:color w:val="auto"/>
          <w:sz w:val="28"/>
          <w:szCs w:val="28"/>
          <w:highlight w:val="none"/>
        </w:rPr>
        <w:t xml:space="preserve">Java</w:t>
      </w:r>
      <w:r>
        <w:rPr>
          <w:rFonts w:ascii="Tinos" w:hAnsi="Tinos" w:eastAsia="Tinos" w:cs="Tinos"/>
          <w:color w:val="auto"/>
          <w:sz w:val="28"/>
          <w:szCs w:val="28"/>
          <w:highlight w:val="none"/>
        </w:rPr>
        <w:t xml:space="preserve">, </w:t>
      </w:r>
      <w:r>
        <w:rPr>
          <w:rFonts w:ascii="Tinos" w:hAnsi="Tinos" w:eastAsia="Tinos" w:cs="Tinos"/>
          <w:color w:val="auto"/>
          <w:sz w:val="28"/>
          <w:szCs w:val="28"/>
          <w:highlight w:val="none"/>
        </w:rPr>
        <w:t xml:space="preserve">Python</w:t>
      </w:r>
      <w:r>
        <w:rPr>
          <w:rFonts w:ascii="Tinos" w:hAnsi="Tinos" w:eastAsia="Tinos" w:cs="Tinos"/>
          <w:color w:val="auto"/>
          <w:sz w:val="28"/>
          <w:szCs w:val="28"/>
          <w:highlight w:val="none"/>
        </w:rPr>
        <w:t xml:space="preserve">.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Специализированное ПО: Программа экранного доступа или Программа экранного доступа и увеличения.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b/>
          <w:bCs/>
          <w:color w:val="auto"/>
          <w:sz w:val="28"/>
          <w:szCs w:val="28"/>
          <w:highlight w:val="none"/>
        </w:rPr>
        <w:t xml:space="preserve">Для слабовидящих участников экзамена (версия для участников с ОВЗ (расширенные настройки):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b/>
          <w:bCs/>
          <w:color w:val="auto"/>
          <w:sz w:val="28"/>
          <w:szCs w:val="28"/>
          <w:highlight w:val="none"/>
        </w:rPr>
        <w:t xml:space="preserve">Технические требования: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Процессор: количество ядер: от 4; частота: от 2,0 ГГц.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Оперативная память: от 8 Гбайт; доступная (свободная) память для работы ПО (неиспользуемая прочими приложениями): не менее 1 Гбайт.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Свободное дисковое пространство: от 100 Гбайт; не менее 20% от общего объема жесткого диска.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Прочее оборудование: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Звуковая карта.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Наушники или </w:t>
      </w:r>
      <w:r>
        <w:rPr>
          <w:rFonts w:ascii="Tinos" w:hAnsi="Tinos" w:eastAsia="Tinos" w:cs="Tinos"/>
          <w:color w:val="auto"/>
          <w:sz w:val="28"/>
          <w:szCs w:val="28"/>
          <w:highlight w:val="none"/>
        </w:rPr>
        <w:t xml:space="preserve">аудиогарнитура</w:t>
      </w:r>
      <w:r>
        <w:rPr>
          <w:rFonts w:ascii="Tinos" w:hAnsi="Tinos" w:eastAsia="Tinos" w:cs="Tinos"/>
          <w:color w:val="auto"/>
          <w:sz w:val="28"/>
          <w:szCs w:val="28"/>
          <w:highlight w:val="none"/>
        </w:rPr>
        <w:t xml:space="preserve">.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Видеокарта и монитор: диагональ экрана не менее 19 дюймов, разрешение не менее 1920х1080.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Внешний интерфейс: USB 2.0 и выше, рекомендуется не ниже USB 3.0, а также не менее двух свободных портов.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Манипулятор «мышь».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Клавиатура с рельефной маркировкой клавиш основного ряда (клавиши «А» и «О»).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Увеличивающее устройство (рекомендуется).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b/>
          <w:bCs/>
          <w:color w:val="auto"/>
          <w:sz w:val="28"/>
          <w:szCs w:val="28"/>
          <w:highlight w:val="none"/>
        </w:rPr>
        <w:t xml:space="preserve">Программное обеспечение: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Операционные системы: </w:t>
      </w:r>
      <w:r>
        <w:rPr>
          <w:rFonts w:ascii="Tinos" w:hAnsi="Tinos" w:eastAsia="Tinos" w:cs="Tinos"/>
          <w:color w:val="auto"/>
          <w:sz w:val="28"/>
          <w:szCs w:val="28"/>
          <w:highlight w:val="none"/>
        </w:rPr>
        <w:t xml:space="preserve">Windows</w:t>
      </w:r>
      <w:r>
        <w:rPr>
          <w:rFonts w:ascii="Tinos" w:hAnsi="Tinos" w:eastAsia="Tinos" w:cs="Tinos"/>
          <w:color w:val="auto"/>
          <w:sz w:val="28"/>
          <w:szCs w:val="28"/>
          <w:highlight w:val="none"/>
        </w:rPr>
        <w:t xml:space="preserve"> 8.1/10 (сборка 1607 и выше) платформы: x64, настроенные с учетом индивидуальных зрительных возможностей экзаменуемых: контрастная цветовая схема (прямой или обратный контраст), увеличение </w:t>
      </w:r>
      <w:r>
        <w:rPr>
          <w:rFonts w:ascii="Tinos" w:hAnsi="Tinos" w:eastAsia="Tinos" w:cs="Tinos"/>
          <w:color w:val="auto"/>
          <w:sz w:val="28"/>
          <w:szCs w:val="28"/>
          <w:highlight w:val="none"/>
        </w:rPr>
        <w:t xml:space="preserve">масштаба</w:t>
      </w:r>
      <w:r>
        <w:rPr>
          <w:rFonts w:ascii="Tinos" w:hAnsi="Tinos" w:eastAsia="Tinos" w:cs="Tinos"/>
          <w:color w:val="auto"/>
          <w:sz w:val="28"/>
          <w:szCs w:val="28"/>
          <w:highlight w:val="none"/>
        </w:rPr>
        <w:t xml:space="preserve"> экрана, увеличение масштаба и повышение контрастности указателя мыши, отображения основных элементов интерфейса в виде списка (меню, папки и т.д.), отображение расширений файлов в текстовом виде.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ПО, </w:t>
      </w:r>
      <w:r>
        <w:rPr>
          <w:rFonts w:ascii="Tinos" w:hAnsi="Tinos" w:eastAsia="Tinos" w:cs="Tinos"/>
          <w:color w:val="auto"/>
          <w:sz w:val="28"/>
          <w:szCs w:val="28"/>
          <w:highlight w:val="none"/>
        </w:rPr>
        <w:t xml:space="preserve">предоставляемое</w:t>
      </w:r>
      <w:r>
        <w:rPr>
          <w:rFonts w:ascii="Tinos" w:hAnsi="Tinos" w:eastAsia="Tinos" w:cs="Tinos"/>
          <w:color w:val="auto"/>
          <w:sz w:val="28"/>
          <w:szCs w:val="28"/>
          <w:highlight w:val="none"/>
        </w:rPr>
        <w:t xml:space="preserve">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C#, C++, </w:t>
      </w:r>
      <w:r>
        <w:rPr>
          <w:rFonts w:ascii="Tinos" w:hAnsi="Tinos" w:eastAsia="Tinos" w:cs="Tinos"/>
          <w:color w:val="auto"/>
          <w:sz w:val="28"/>
          <w:szCs w:val="28"/>
          <w:highlight w:val="none"/>
        </w:rPr>
        <w:t xml:space="preserve">Pascal</w:t>
      </w:r>
      <w:r>
        <w:rPr>
          <w:rFonts w:ascii="Tinos" w:hAnsi="Tinos" w:eastAsia="Tinos" w:cs="Tinos"/>
          <w:color w:val="auto"/>
          <w:sz w:val="28"/>
          <w:szCs w:val="28"/>
          <w:highlight w:val="none"/>
        </w:rPr>
        <w:t xml:space="preserve">, </w:t>
      </w:r>
      <w:r>
        <w:rPr>
          <w:rFonts w:ascii="Tinos" w:hAnsi="Tinos" w:eastAsia="Tinos" w:cs="Tinos"/>
          <w:color w:val="auto"/>
          <w:sz w:val="28"/>
          <w:szCs w:val="28"/>
          <w:highlight w:val="none"/>
        </w:rPr>
        <w:t xml:space="preserve">Java</w:t>
      </w:r>
      <w:r>
        <w:rPr>
          <w:rFonts w:ascii="Tinos" w:hAnsi="Tinos" w:eastAsia="Tinos" w:cs="Tinos"/>
          <w:color w:val="auto"/>
          <w:sz w:val="28"/>
          <w:szCs w:val="28"/>
          <w:highlight w:val="none"/>
        </w:rPr>
        <w:t xml:space="preserve">, </w:t>
      </w:r>
      <w:r>
        <w:rPr>
          <w:rFonts w:ascii="Tinos" w:hAnsi="Tinos" w:eastAsia="Tinos" w:cs="Tinos"/>
          <w:color w:val="auto"/>
          <w:sz w:val="28"/>
          <w:szCs w:val="28"/>
          <w:highlight w:val="none"/>
        </w:rPr>
        <w:t xml:space="preserve">Python</w:t>
      </w:r>
      <w:r>
        <w:rPr>
          <w:rFonts w:ascii="Tinos" w:hAnsi="Tinos" w:eastAsia="Tinos" w:cs="Tinos"/>
          <w:color w:val="auto"/>
          <w:sz w:val="28"/>
          <w:szCs w:val="28"/>
          <w:highlight w:val="none"/>
        </w:rPr>
        <w:t xml:space="preserve">.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Специализированное ПО: Программа экранного увеличения или Программа экранного доступа и увеличения.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b/>
          <w:bCs/>
          <w:color w:val="auto"/>
          <w:sz w:val="28"/>
          <w:szCs w:val="28"/>
          <w:highlight w:val="none"/>
        </w:rPr>
      </w:pPr>
      <w:r>
        <w:rPr>
          <w:rFonts w:ascii="Tinos" w:hAnsi="Tinos" w:eastAsia="Tinos" w:cs="Tinos"/>
          <w:b/>
          <w:bCs/>
          <w:color w:val="auto"/>
          <w:sz w:val="28"/>
          <w:szCs w:val="28"/>
          <w:highlight w:val="none"/>
        </w:rPr>
        <w:t xml:space="preserve">Для участников с нарушением опорно-двигательного аппарата (версия для участников с ОВЗ (расширенные настройки) при наличии соответствующих рекомендаций ПМПК): </w:t>
      </w:r>
      <w:r>
        <w:rPr>
          <w:rFonts w:ascii="Tinos" w:hAnsi="Tinos" w:cs="Tinos"/>
          <w:b/>
          <w:bCs/>
          <w:color w:val="auto"/>
          <w:sz w:val="28"/>
          <w:szCs w:val="28"/>
          <w:highlight w:val="none"/>
        </w:rPr>
      </w:r>
      <w:r>
        <w:rPr>
          <w:rFonts w:ascii="Tinos" w:hAnsi="Tinos" w:cs="Tinos"/>
          <w:b/>
          <w:bC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b/>
          <w:bCs/>
          <w:color w:val="auto"/>
          <w:sz w:val="28"/>
          <w:szCs w:val="28"/>
          <w:highlight w:val="none"/>
        </w:rPr>
        <w:t xml:space="preserve">Технические требования: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Процессор: количество ядер: от 4; частота: от 2,0 ГГц.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Оперативная память: от 4 Гбайт; доступная (свободная) память для работы ПО (неиспользуемая прочими приложениями): не менее 1 Гбайт.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Свободное дисковое пространство: от 100 Гбайт; не менее 20% от общего объема жесткого диска.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Прочее оборудование: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Звуковая карта.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Видеокарта и монитор: диагональ экрана не менее 19 дюймов, разрешение не менее 1920х1080.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Внешний интерфейс: USB 2.0 и выше, рекомендуется не ниже USB 3.0, а также не менее двух свободных портов.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Манипулятор «мышь» с учетом индивидуальных особенностей и потребностей экзаменуемого (ножная мышь, роллер, джойстик, головная мышь и др.).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Клавиатура с увеличенным размером клавиш, накладка для клавиатуры.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b/>
          <w:bCs/>
          <w:color w:val="auto"/>
          <w:sz w:val="28"/>
          <w:szCs w:val="28"/>
          <w:highlight w:val="none"/>
        </w:rPr>
        <w:t xml:space="preserve">Программное обеспечение: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Операционные системы: </w:t>
      </w:r>
      <w:r>
        <w:rPr>
          <w:rFonts w:ascii="Tinos" w:hAnsi="Tinos" w:eastAsia="Tinos" w:cs="Tinos"/>
          <w:color w:val="auto"/>
          <w:sz w:val="28"/>
          <w:szCs w:val="28"/>
          <w:highlight w:val="none"/>
        </w:rPr>
        <w:t xml:space="preserve">Windows</w:t>
      </w:r>
      <w:r>
        <w:rPr>
          <w:rFonts w:ascii="Tinos" w:hAnsi="Tinos" w:eastAsia="Tinos" w:cs="Tinos"/>
          <w:color w:val="auto"/>
          <w:sz w:val="28"/>
          <w:szCs w:val="28"/>
          <w:highlight w:val="none"/>
        </w:rPr>
        <w:t xml:space="preserve"> 8.1/10 (сборка 1607 и выше) платформы: ia32 (x86), x64, настроенные с учетом индивидуальных возможностей экзаменуемых: увеличение курсора, замедление скорости перемещения курсора, включение опции увеличения области просмотра и др. </w:t>
      </w:r>
      <w:r>
        <w:rPr>
          <w:rFonts w:ascii="Tinos" w:hAnsi="Tinos" w:cs="Tinos"/>
          <w:color w:val="auto"/>
          <w:sz w:val="28"/>
          <w:szCs w:val="28"/>
          <w:highlight w:val="none"/>
        </w:rPr>
      </w:r>
      <w:r>
        <w:rPr>
          <w:rFonts w:ascii="Tinos" w:hAnsi="Tinos" w:cs="Tinos"/>
          <w:color w:val="auto"/>
          <w:sz w:val="28"/>
          <w:szCs w:val="28"/>
          <w:highlight w:val="none"/>
        </w:rPr>
      </w:r>
    </w:p>
    <w:p>
      <w:pPr>
        <w:pStyle w:val="1014"/>
        <w:ind w:firstLine="709"/>
        <w:jc w:val="both"/>
        <w:spacing w:before="0" w:beforeAutospacing="0" w:after="0" w:afterAutospacing="0"/>
        <w:rPr>
          <w:rFonts w:ascii="Tinos" w:hAnsi="Tinos" w:cs="Tinos"/>
          <w:color w:val="auto"/>
          <w:sz w:val="28"/>
          <w:szCs w:val="28"/>
          <w:highlight w:val="none"/>
        </w:rPr>
      </w:pPr>
      <w:r>
        <w:rPr>
          <w:rFonts w:ascii="Tinos" w:hAnsi="Tinos" w:eastAsia="Tinos" w:cs="Tinos"/>
          <w:color w:val="auto"/>
          <w:sz w:val="28"/>
          <w:szCs w:val="28"/>
          <w:highlight w:val="none"/>
        </w:rPr>
        <w:t xml:space="preserve">ПО, </w:t>
      </w:r>
      <w:r>
        <w:rPr>
          <w:rFonts w:ascii="Tinos" w:hAnsi="Tinos" w:eastAsia="Tinos" w:cs="Tinos"/>
          <w:color w:val="auto"/>
          <w:sz w:val="28"/>
          <w:szCs w:val="28"/>
          <w:highlight w:val="none"/>
        </w:rPr>
        <w:t xml:space="preserve">предоставляемое</w:t>
      </w:r>
      <w:r>
        <w:rPr>
          <w:rFonts w:ascii="Tinos" w:hAnsi="Tinos" w:eastAsia="Tinos" w:cs="Tinos"/>
          <w:color w:val="auto"/>
          <w:sz w:val="28"/>
          <w:szCs w:val="28"/>
          <w:highlight w:val="none"/>
        </w:rPr>
        <w:t xml:space="preserve">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w:t>
      </w:r>
      <w:r>
        <w:rPr>
          <w:rFonts w:ascii="Tinos" w:hAnsi="Tinos" w:eastAsia="Tinos" w:cs="Tinos"/>
          <w:color w:val="auto"/>
          <w:sz w:val="28"/>
          <w:szCs w:val="28"/>
          <w:highlight w:val="none"/>
        </w:rPr>
        <w:t xml:space="preserve">школьный алгоритмический язык, </w:t>
      </w:r>
      <w:r>
        <w:rPr>
          <w:rFonts w:ascii="Tinos" w:hAnsi="Tinos" w:eastAsia="Tinos" w:cs="Tinos"/>
          <w:color w:val="auto"/>
          <w:sz w:val="28"/>
          <w:szCs w:val="28"/>
          <w:highlight w:val="none"/>
        </w:rPr>
        <w:t xml:space="preserve">C#, C++, </w:t>
      </w:r>
      <w:r>
        <w:rPr>
          <w:rFonts w:ascii="Tinos" w:hAnsi="Tinos" w:eastAsia="Tinos" w:cs="Tinos"/>
          <w:color w:val="auto"/>
          <w:sz w:val="28"/>
          <w:szCs w:val="28"/>
          <w:highlight w:val="none"/>
        </w:rPr>
        <w:t xml:space="preserve">Pascal</w:t>
      </w:r>
      <w:r>
        <w:rPr>
          <w:rFonts w:ascii="Tinos" w:hAnsi="Tinos" w:eastAsia="Tinos" w:cs="Tinos"/>
          <w:color w:val="auto"/>
          <w:sz w:val="28"/>
          <w:szCs w:val="28"/>
          <w:highlight w:val="none"/>
        </w:rPr>
        <w:t xml:space="preserve">, </w:t>
      </w:r>
      <w:r>
        <w:rPr>
          <w:rFonts w:ascii="Tinos" w:hAnsi="Tinos" w:eastAsia="Tinos" w:cs="Tinos"/>
          <w:color w:val="auto"/>
          <w:sz w:val="28"/>
          <w:szCs w:val="28"/>
          <w:highlight w:val="none"/>
        </w:rPr>
        <w:t xml:space="preserve">Java</w:t>
      </w:r>
      <w:r>
        <w:rPr>
          <w:rFonts w:ascii="Tinos" w:hAnsi="Tinos" w:eastAsia="Tinos" w:cs="Tinos"/>
          <w:color w:val="auto"/>
          <w:sz w:val="28"/>
          <w:szCs w:val="28"/>
          <w:highlight w:val="none"/>
        </w:rPr>
        <w:t xml:space="preserve">, </w:t>
      </w:r>
      <w:r>
        <w:rPr>
          <w:rFonts w:ascii="Tinos" w:hAnsi="Tinos" w:eastAsia="Tinos" w:cs="Tinos"/>
          <w:color w:val="auto"/>
          <w:sz w:val="28"/>
          <w:szCs w:val="28"/>
          <w:highlight w:val="none"/>
        </w:rPr>
        <w:t xml:space="preserve">Python</w:t>
      </w:r>
      <w:r>
        <w:rPr>
          <w:rFonts w:ascii="Tinos" w:hAnsi="Tinos" w:eastAsia="Tinos" w:cs="Tinos"/>
          <w:color w:val="auto"/>
          <w:sz w:val="28"/>
          <w:szCs w:val="28"/>
          <w:highlight w:val="none"/>
        </w:rPr>
        <w:t xml:space="preserve">.</w:t>
      </w:r>
      <w:r>
        <w:rPr>
          <w:rFonts w:ascii="Tinos" w:hAnsi="Tinos" w:cs="Tinos"/>
          <w:color w:val="auto"/>
          <w:sz w:val="28"/>
          <w:szCs w:val="28"/>
          <w:highlight w:val="none"/>
        </w:rPr>
      </w:r>
      <w:r>
        <w:rPr>
          <w:rFonts w:ascii="Tinos" w:hAnsi="Tinos" w:cs="Tinos"/>
          <w:color w:val="auto"/>
          <w:sz w:val="28"/>
          <w:szCs w:val="28"/>
          <w:highlight w:val="none"/>
        </w:rPr>
      </w:r>
    </w:p>
    <w:p>
      <w:pPr>
        <w:ind w:right="34" w:firstLine="709"/>
        <w:spacing w:before="0" w:beforeAutospacing="0" w:after="0" w:afterAutospacing="0" w:line="240" w:lineRule="auto"/>
        <w:tabs>
          <w:tab w:val="left" w:pos="10915" w:leader="none"/>
        </w:tabs>
        <w:rPr>
          <w:rFonts w:ascii="Tinos" w:hAnsi="Tinos" w:cs="Tinos"/>
          <w:sz w:val="28"/>
          <w:szCs w:val="28"/>
          <w:highlight w:val="cyan"/>
        </w:rPr>
        <w:sectPr>
          <w:footerReference w:type="even" r:id="rId9"/>
          <w:footerReference w:type="first" r:id="rId10"/>
          <w:footnotePr/>
          <w:endnotePr/>
          <w:type w:val="nextPage"/>
          <w:pgSz w:w="11906" w:h="16838" w:orient="portrait"/>
          <w:pgMar w:top="1134" w:right="567" w:bottom="1134" w:left="1134" w:header="720" w:footer="720" w:gutter="0"/>
          <w:cols w:num="1" w:sep="0" w:space="720" w:equalWidth="1"/>
          <w:docGrid w:linePitch="360"/>
          <w:titlePg/>
        </w:sectPr>
      </w:pPr>
      <w:r>
        <w:rPr>
          <w:rFonts w:ascii="Tinos" w:hAnsi="Tinos" w:eastAsia="Tinos" w:cs="Tinos"/>
          <w:b/>
          <w:bCs/>
          <w:color w:val="auto"/>
          <w:sz w:val="28"/>
          <w:szCs w:val="28"/>
          <w:highlight w:val="none"/>
          <w:lang w:val="ru-RU"/>
        </w:rPr>
        <w:t xml:space="preserve">Для всех категорий участников при наличии соответствующих рекомендаций ПМПК при установке </w:t>
      </w:r>
      <w:r>
        <w:rPr>
          <w:rFonts w:ascii="Tinos" w:hAnsi="Tinos" w:eastAsia="Tinos" w:cs="Tinos"/>
          <w:b/>
          <w:bCs/>
          <w:color w:val="auto"/>
          <w:sz w:val="28"/>
          <w:szCs w:val="28"/>
          <w:highlight w:val="none"/>
          <w:lang w:val="ru-RU"/>
        </w:rPr>
        <w:t xml:space="preserve">ПО</w:t>
      </w:r>
      <w:r>
        <w:rPr>
          <w:rFonts w:ascii="Tinos" w:hAnsi="Tinos" w:eastAsia="Tinos" w:cs="Tinos"/>
          <w:b/>
          <w:bCs/>
          <w:color w:val="auto"/>
          <w:sz w:val="28"/>
          <w:szCs w:val="28"/>
          <w:highlight w:val="none"/>
          <w:lang w:val="ru-RU"/>
        </w:rPr>
        <w:t xml:space="preserve"> «</w:t>
      </w:r>
      <w:r>
        <w:rPr>
          <w:rFonts w:ascii="Tinos" w:hAnsi="Tinos" w:eastAsia="Tinos" w:cs="Tinos"/>
          <w:b/>
          <w:bCs/>
          <w:color w:val="auto"/>
          <w:sz w:val="28"/>
          <w:szCs w:val="28"/>
          <w:highlight w:val="none"/>
          <w:lang w:val="ru-RU"/>
        </w:rPr>
        <w:t xml:space="preserve">Станция</w:t>
      </w:r>
      <w:r>
        <w:rPr>
          <w:rFonts w:ascii="Tinos" w:hAnsi="Tinos" w:eastAsia="Tinos" w:cs="Tinos"/>
          <w:b/>
          <w:bCs/>
          <w:color w:val="auto"/>
          <w:sz w:val="28"/>
          <w:szCs w:val="28"/>
          <w:highlight w:val="none"/>
          <w:lang w:val="ru-RU"/>
        </w:rPr>
        <w:t xml:space="preserve"> КЕГЭ», версия «для участников с ОВЗ (расширенные настройки)», установка и запуск станции КЕГЭ должны выполняться под учетной записью с правами локального </w:t>
      </w:r>
      <w:r>
        <w:rPr>
          <w:rFonts w:ascii="Tinos" w:hAnsi="Tinos" w:eastAsia="Tinos" w:cs="Tinos"/>
          <w:b/>
          <w:bCs/>
          <w:color w:val="auto"/>
          <w:sz w:val="28"/>
          <w:szCs w:val="28"/>
          <w:highlight w:val="none"/>
          <w:lang w:val="ru-RU"/>
        </w:rPr>
        <w:t xml:space="preserve">администратора. </w:t>
      </w:r>
      <w:r>
        <w:rPr>
          <w:rFonts w:ascii="Tinos" w:hAnsi="Tinos" w:eastAsia="Tinos" w:cs="Tinos"/>
          <w:sz w:val="28"/>
          <w:szCs w:val="28"/>
          <w:highlight w:val="none"/>
          <w:lang w:val="ru-RU"/>
        </w:rPr>
        <w:t xml:space="preserve"> </w:t>
      </w:r>
      <w:r>
        <w:rPr>
          <w:rFonts w:ascii="Tinos" w:hAnsi="Tinos" w:cs="Tinos"/>
          <w:sz w:val="28"/>
          <w:szCs w:val="28"/>
          <w:highlight w:val="cyan"/>
        </w:rPr>
      </w:r>
      <w:r>
        <w:rPr>
          <w:rFonts w:ascii="Tinos" w:hAnsi="Tinos" w:cs="Tinos"/>
          <w:sz w:val="28"/>
          <w:szCs w:val="28"/>
          <w:highlight w:val="cyan"/>
        </w:rPr>
      </w:r>
    </w:p>
    <w:p>
      <w:pPr>
        <w:numPr>
          <w:ilvl w:val="1"/>
          <w:numId w:val="1"/>
        </w:numPr>
        <w:ind w:left="0" w:right="-1" w:firstLine="709"/>
        <w:spacing w:before="0" w:beforeAutospacing="0" w:after="0" w:afterAutospacing="0" w:line="240" w:lineRule="auto"/>
        <w:rPr>
          <w:rFonts w:ascii="Tinos" w:hAnsi="Tinos" w:cs="Tinos"/>
          <w:sz w:val="28"/>
          <w:szCs w:val="28"/>
          <w:highlight w:val="none"/>
        </w:rPr>
      </w:pPr>
      <w:r>
        <w:rPr>
          <w:rFonts w:ascii="Tinos" w:hAnsi="Tinos" w:eastAsia="Tinos" w:cs="Tinos"/>
          <w:sz w:val="28"/>
          <w:szCs w:val="28"/>
          <w:highlight w:val="none"/>
          <w:lang w:val="ru-RU"/>
        </w:rPr>
        <w:t xml:space="preserve">Особенности организации пункта проведения экзамена для участников экзамена с ОВЗ, детей-инвалидов и инвалидов при проведении КЕГЭ</w:t>
      </w:r>
      <w:r>
        <w:rPr>
          <w:rFonts w:ascii="Tinos" w:hAnsi="Tinos" w:cs="Tinos"/>
          <w:sz w:val="28"/>
          <w:szCs w:val="28"/>
          <w:highlight w:val="none"/>
        </w:rPr>
      </w:r>
      <w:r>
        <w:rPr>
          <w:rFonts w:ascii="Tinos" w:hAnsi="Tinos" w:cs="Tinos"/>
          <w:sz w:val="28"/>
          <w:szCs w:val="28"/>
          <w:highlight w:val="none"/>
        </w:rPr>
      </w:r>
    </w:p>
    <w:p>
      <w:pPr>
        <w:ind w:left="709" w:right="-1" w:firstLine="0"/>
        <w:spacing w:before="0" w:beforeAutospacing="0" w:after="0" w:afterAutospacing="0" w:line="240" w:lineRule="auto"/>
        <w:rPr>
          <w:rFonts w:ascii="Tinos" w:hAnsi="Tinos" w:cs="Tinos"/>
          <w:sz w:val="28"/>
          <w:szCs w:val="28"/>
          <w:highlight w:val="cyan"/>
        </w:rPr>
      </w:pPr>
      <w:r>
        <w:rPr>
          <w:rFonts w:ascii="Tinos" w:hAnsi="Tinos" w:cs="Tinos"/>
          <w:sz w:val="28"/>
          <w:szCs w:val="28"/>
          <w:highlight w:val="cyan"/>
        </w:rPr>
      </w:r>
      <w:r>
        <w:rPr>
          <w:rFonts w:ascii="Tinos" w:hAnsi="Tinos" w:cs="Tinos"/>
          <w:sz w:val="28"/>
          <w:szCs w:val="28"/>
          <w:highlight w:val="cyan"/>
        </w:rPr>
      </w:r>
      <w:r>
        <w:rPr>
          <w:rFonts w:ascii="Tinos" w:hAnsi="Tinos" w:cs="Tinos"/>
          <w:sz w:val="28"/>
          <w:szCs w:val="28"/>
          <w:highlight w:val="cyan"/>
        </w:rPr>
      </w:r>
    </w:p>
    <w:p>
      <w:pPr>
        <w:ind w:left="709" w:right="-1" w:firstLine="0"/>
        <w:spacing w:before="0" w:beforeAutospacing="0" w:after="0" w:afterAutospacing="0" w:line="240" w:lineRule="auto"/>
        <w:rPr>
          <w:rFonts w:ascii="Tinos" w:hAnsi="Tinos" w:cs="Tinos"/>
          <w:sz w:val="28"/>
          <w:szCs w:val="28"/>
          <w:highlight w:val="cyan"/>
        </w:rPr>
      </w:pPr>
      <w:r>
        <w:rPr>
          <w:rFonts w:ascii="Tinos" w:hAnsi="Tinos" w:eastAsia="Tinos" w:cs="Tinos"/>
          <w:sz w:val="28"/>
          <w:szCs w:val="28"/>
          <w:highlight w:val="cyan"/>
          <w:lang w:val="ru-RU"/>
        </w:rPr>
      </w:r>
      <w:r>
        <w:rPr>
          <w:rFonts w:ascii="Tinos" w:hAnsi="Tinos" w:cs="Tinos"/>
          <w:sz w:val="28"/>
          <w:szCs w:val="28"/>
          <w:highlight w:val="cyan"/>
        </w:rPr>
      </w:r>
      <w:r>
        <w:rPr>
          <w:rFonts w:ascii="Tinos" w:hAnsi="Tinos" w:cs="Tinos"/>
          <w:sz w:val="28"/>
          <w:szCs w:val="28"/>
          <w:highlight w:val="cyan"/>
        </w:rPr>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8" w:type="dxa"/>
          <w:right w:w="13" w:type="dxa"/>
        </w:tblCellMar>
        <w:tblLook w:val="04A0" w:firstRow="1" w:lastRow="0" w:firstColumn="1" w:lastColumn="0" w:noHBand="0" w:noVBand="1"/>
      </w:tblPr>
      <w:tblGrid>
        <w:gridCol w:w="378"/>
        <w:gridCol w:w="2269"/>
        <w:gridCol w:w="1429"/>
        <w:gridCol w:w="1205"/>
        <w:gridCol w:w="3800"/>
        <w:gridCol w:w="3415"/>
        <w:gridCol w:w="2165"/>
      </w:tblGrid>
      <w:tr>
        <w:tblPrEx/>
        <w:trPr>
          <w:cantSplit/>
          <w:trHeight w:val="20"/>
          <w:tblHeader/>
        </w:trPr>
        <w:tc>
          <w:tcPr>
            <w:shd w:val="clear" w:color="auto" w:fill="auto"/>
            <w:tcW w:w="0" w:type="auto"/>
            <w:vAlign w:val="center"/>
            <w:vMerge w:val="restart"/>
            <w:textDirection w:val="lrTb"/>
            <w:noWrap w:val="false"/>
          </w:tcPr>
          <w:p>
            <w:pPr>
              <w:ind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 </w:t>
            </w:r>
            <w:r>
              <w:rPr>
                <w:rFonts w:ascii="Tinos" w:hAnsi="Tinos" w:eastAsia="Tinos" w:cs="Tinos"/>
                <w:sz w:val="20"/>
                <w:szCs w:val="20"/>
                <w:highlight w:val="none"/>
                <w:lang w:val="ru-RU"/>
              </w:rPr>
              <w:t xml:space="preserve">п</w:t>
            </w:r>
            <w:r>
              <w:rPr>
                <w:rFonts w:ascii="Tinos" w:hAnsi="Tinos" w:eastAsia="Tinos" w:cs="Tinos"/>
                <w:sz w:val="20"/>
                <w:szCs w:val="20"/>
                <w:highlight w:val="none"/>
                <w:lang w:val="ru-RU"/>
              </w:rPr>
              <w:t xml:space="preserve">/</w:t>
            </w:r>
            <w:r>
              <w:rPr>
                <w:rFonts w:ascii="Tinos" w:hAnsi="Tinos" w:eastAsia="Tinos" w:cs="Tinos"/>
                <w:sz w:val="20"/>
                <w:szCs w:val="20"/>
                <w:highlight w:val="none"/>
                <w:lang w:val="ru-RU"/>
              </w:rPr>
              <w:t xml:space="preserve">п</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Align w:val="center"/>
            <w:vMerge w:val="restart"/>
            <w:textDirection w:val="lrTb"/>
            <w:noWrap w:val="false"/>
          </w:tcPr>
          <w:p>
            <w:pPr>
              <w:ind w:left="4" w:right="236"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Категория участников экзамена с ОВЗ</w:t>
            </w:r>
            <w:r>
              <w:rPr>
                <w:rFonts w:ascii="Tinos" w:hAnsi="Tinos" w:cs="Tinos"/>
                <w:sz w:val="20"/>
                <w:szCs w:val="20"/>
                <w:highlight w:val="none"/>
              </w:rPr>
            </w:r>
            <w:r>
              <w:rPr>
                <w:rFonts w:ascii="Tinos" w:hAnsi="Tinos" w:cs="Tinos"/>
                <w:sz w:val="20"/>
                <w:szCs w:val="20"/>
                <w:highlight w:val="none"/>
              </w:rPr>
            </w:r>
          </w:p>
        </w:tc>
        <w:tc>
          <w:tcPr>
            <w:gridSpan w:val="5"/>
            <w:shd w:val="clear" w:color="auto" w:fill="auto"/>
            <w:tcW w:w="0" w:type="auto"/>
            <w:vAlign w:val="center"/>
            <w:textDirection w:val="lrTb"/>
            <w:noWrap w:val="false"/>
          </w:tcPr>
          <w:p>
            <w:pPr>
              <w:ind w:left="7"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Перечень особых условий проведения ГИА в ППЭ для отдельных лиц с ОВЗ, детей-инвалидов и инвалидов</w:t>
            </w:r>
            <w:r>
              <w:rPr>
                <w:rFonts w:ascii="Tinos" w:hAnsi="Tinos" w:cs="Tinos"/>
                <w:sz w:val="20"/>
                <w:szCs w:val="20"/>
                <w:highlight w:val="none"/>
              </w:rPr>
            </w:r>
            <w:r>
              <w:rPr>
                <w:rFonts w:ascii="Tinos" w:hAnsi="Tinos" w:cs="Tinos"/>
                <w:sz w:val="20"/>
                <w:szCs w:val="20"/>
                <w:highlight w:val="none"/>
              </w:rPr>
            </w:r>
          </w:p>
        </w:tc>
      </w:tr>
      <w:tr>
        <w:tblPrEx/>
        <w:trPr>
          <w:cantSplit/>
          <w:trHeight w:val="778"/>
          <w:tblHeader/>
        </w:trPr>
        <w:tc>
          <w:tcPr>
            <w:shd w:val="clear" w:color="auto" w:fill="auto"/>
            <w:tcW w:w="0" w:type="auto"/>
            <w:vMerge w:val="continue"/>
            <w:textDirection w:val="lrTb"/>
            <w:noWrap w:val="false"/>
          </w:tcPr>
          <w:p>
            <w:pPr>
              <w:ind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Align w:val="center"/>
            <w:vMerge w:val="continue"/>
            <w:textDirection w:val="lrTb"/>
            <w:noWrap w:val="false"/>
          </w:tcPr>
          <w:p>
            <w:pPr>
              <w:ind w:right="0" w:firstLine="0"/>
              <w:jc w:val="center"/>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Align w:val="center"/>
            <w:textDirection w:val="lrTb"/>
            <w:noWrap w:val="false"/>
          </w:tcPr>
          <w:p>
            <w:pPr>
              <w:ind w:left="7"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Оформление</w:t>
            </w:r>
            <w:r>
              <w:rPr>
                <w:rFonts w:ascii="Tinos" w:hAnsi="Tinos" w:eastAsia="Tinos" w:cs="Tinos"/>
                <w:sz w:val="20"/>
                <w:szCs w:val="20"/>
                <w:highlight w:val="none"/>
              </w:rPr>
              <w:t xml:space="preserve"> КИМ</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Align w:val="center"/>
            <w:textDirection w:val="lrTb"/>
            <w:noWrap w:val="false"/>
          </w:tcPr>
          <w:p>
            <w:pPr>
              <w:ind w:left="7"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Продолжи</w:t>
            </w:r>
            <w:r>
              <w:rPr>
                <w:rFonts w:ascii="Tinos" w:hAnsi="Tinos" w:eastAsia="Tinos" w:cs="Tinos"/>
                <w:sz w:val="20"/>
                <w:szCs w:val="20"/>
                <w:highlight w:val="none"/>
              </w:rPr>
              <w:t xml:space="preserve"> </w:t>
            </w:r>
            <w:r>
              <w:rPr>
                <w:rFonts w:ascii="Tinos" w:hAnsi="Tinos" w:eastAsia="Tinos" w:cs="Tinos"/>
                <w:sz w:val="20"/>
                <w:szCs w:val="20"/>
                <w:highlight w:val="none"/>
              </w:rPr>
              <w:t xml:space="preserve">тельность</w:t>
            </w:r>
            <w:r>
              <w:rPr>
                <w:rFonts w:ascii="Tinos" w:hAnsi="Tinos" w:eastAsia="Tinos" w:cs="Tinos"/>
                <w:sz w:val="20"/>
                <w:szCs w:val="20"/>
                <w:highlight w:val="none"/>
              </w:rPr>
              <w:t xml:space="preserve"> </w:t>
            </w:r>
            <w:r>
              <w:rPr>
                <w:rFonts w:ascii="Tinos" w:hAnsi="Tinos" w:eastAsia="Tinos" w:cs="Tinos"/>
                <w:sz w:val="20"/>
                <w:szCs w:val="20"/>
                <w:highlight w:val="none"/>
              </w:rPr>
              <w:t xml:space="preserve">экзамена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Align w:val="center"/>
            <w:textDirection w:val="lrTb"/>
            <w:noWrap w:val="false"/>
          </w:tcPr>
          <w:p>
            <w:pPr>
              <w:ind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Рабочее</w:t>
            </w:r>
            <w:r>
              <w:rPr>
                <w:rFonts w:ascii="Tinos" w:hAnsi="Tinos" w:eastAsia="Tinos" w:cs="Tinos"/>
                <w:sz w:val="20"/>
                <w:szCs w:val="20"/>
                <w:highlight w:val="none"/>
              </w:rPr>
              <w:t xml:space="preserve"> </w:t>
            </w:r>
            <w:r>
              <w:rPr>
                <w:rFonts w:ascii="Tinos" w:hAnsi="Tinos" w:eastAsia="Tinos" w:cs="Tinos"/>
                <w:sz w:val="20"/>
                <w:szCs w:val="20"/>
                <w:highlight w:val="none"/>
              </w:rPr>
              <w:t xml:space="preserve">место</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Align w:val="center"/>
            <w:textDirection w:val="lrTb"/>
            <w:noWrap w:val="false"/>
          </w:tcPr>
          <w:p>
            <w:pPr>
              <w:ind w:right="12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Работа</w:t>
            </w:r>
            <w:r>
              <w:rPr>
                <w:rFonts w:ascii="Tinos" w:hAnsi="Tinos" w:eastAsia="Tinos" w:cs="Tinos"/>
                <w:sz w:val="20"/>
                <w:szCs w:val="20"/>
                <w:highlight w:val="none"/>
              </w:rPr>
              <w:t xml:space="preserve"> </w:t>
            </w:r>
            <w:r>
              <w:rPr>
                <w:rFonts w:ascii="Tinos" w:hAnsi="Tinos" w:eastAsia="Tinos" w:cs="Tinos"/>
                <w:sz w:val="20"/>
                <w:szCs w:val="20"/>
                <w:highlight w:val="none"/>
              </w:rPr>
              <w:t xml:space="preserve">ассистента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Align w:val="center"/>
            <w:textDirection w:val="lrTb"/>
            <w:noWrap w:val="false"/>
          </w:tcPr>
          <w:p>
            <w:pPr>
              <w:ind w:left="6" w:right="0" w:firstLine="0"/>
              <w:jc w:val="center"/>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Оформление</w:t>
            </w:r>
            <w:r>
              <w:rPr>
                <w:rFonts w:ascii="Tinos" w:hAnsi="Tinos" w:eastAsia="Tinos" w:cs="Tinos"/>
                <w:sz w:val="20"/>
                <w:szCs w:val="20"/>
                <w:highlight w:val="none"/>
              </w:rPr>
              <w:t xml:space="preserve"> </w:t>
            </w:r>
            <w:r>
              <w:rPr>
                <w:rFonts w:ascii="Tinos" w:hAnsi="Tinos" w:eastAsia="Tinos" w:cs="Tinos"/>
                <w:sz w:val="20"/>
                <w:szCs w:val="20"/>
                <w:highlight w:val="none"/>
              </w:rPr>
              <w:t xml:space="preserve">работы</w:t>
            </w:r>
            <w:r>
              <w:rPr>
                <w:rFonts w:ascii="Tinos" w:hAnsi="Tinos" w:cs="Tinos"/>
                <w:sz w:val="20"/>
                <w:szCs w:val="20"/>
                <w:highlight w:val="none"/>
              </w:rPr>
            </w:r>
            <w:r>
              <w:rPr>
                <w:rFonts w:ascii="Tinos" w:hAnsi="Tinos" w:cs="Tinos"/>
                <w:sz w:val="20"/>
                <w:szCs w:val="20"/>
                <w:highlight w:val="none"/>
              </w:rPr>
            </w:r>
          </w:p>
        </w:tc>
      </w:tr>
      <w:tr>
        <w:tblPrEx/>
        <w:trPr>
          <w:cantSplit/>
          <w:trHeight w:val="20"/>
        </w:trPr>
        <w:tc>
          <w:tcPr>
            <w:shd w:val="clear" w:color="auto" w:fill="auto"/>
            <w:tcW w:w="0" w:type="auto"/>
            <w:vMerge w:val="restart"/>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Слепые, </w:t>
            </w:r>
            <w:r>
              <w:rPr>
                <w:rFonts w:ascii="Tinos" w:hAnsi="Tinos" w:eastAsia="Tinos" w:cs="Tinos"/>
                <w:sz w:val="20"/>
                <w:szCs w:val="20"/>
                <w:highlight w:val="none"/>
                <w:lang w:val="ru-RU"/>
              </w:rPr>
              <w:t xml:space="preserve">поздноослепшие</w:t>
            </w:r>
            <w:r>
              <w:rPr>
                <w:rFonts w:ascii="Tinos" w:hAnsi="Tinos" w:eastAsia="Tinos" w:cs="Tinos"/>
                <w:sz w:val="20"/>
                <w:szCs w:val="20"/>
                <w:highlight w:val="none"/>
                <w:lang w:val="ru-RU"/>
              </w:rPr>
              <w:t xml:space="preserve">, слабовидящие, использующие шрифт Брайля</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Перевод текста заданий </w:t>
            </w:r>
            <w:r>
              <w:rPr>
                <w:rFonts w:ascii="Tinos" w:hAnsi="Tinos" w:eastAsia="Tinos" w:cs="Tinos"/>
                <w:sz w:val="20"/>
                <w:szCs w:val="20"/>
                <w:highlight w:val="none"/>
                <w:lang w:val="ru-RU"/>
              </w:rPr>
              <w:t xml:space="preserve">к</w:t>
            </w:r>
            <w:r>
              <w:rPr>
                <w:rFonts w:ascii="Tinos" w:hAnsi="Tinos" w:eastAsia="Tinos" w:cs="Tinos"/>
                <w:sz w:val="20"/>
                <w:szCs w:val="20"/>
                <w:highlight w:val="none"/>
                <w:lang w:val="ru-RU"/>
              </w:rPr>
              <w:t xml:space="preserve"> КИМ на шрифт Брайля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Увеличива-ется</w:t>
            </w:r>
            <w:r>
              <w:rPr>
                <w:rFonts w:ascii="Tinos" w:hAnsi="Tinos" w:eastAsia="Tinos" w:cs="Tinos"/>
                <w:sz w:val="20"/>
                <w:szCs w:val="20"/>
                <w:highlight w:val="none"/>
                <w:lang w:val="ru-RU"/>
              </w:rPr>
              <w:t xml:space="preserve"> на 1,5 часа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right="148"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Отдельная аудитория, количество участников экзамена в одной аудитории – не более 6 чел.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Align w:val="center"/>
            <w:vMerge w:val="restart"/>
            <w:textDirection w:val="lrTb"/>
            <w:noWrap w:val="false"/>
          </w:tcPr>
          <w:p>
            <w:pPr>
              <w:pStyle w:val="1014"/>
              <w:ind w:right="135"/>
              <w:spacing w:before="0" w:beforeAutospacing="0" w:after="0" w:afterAutospacing="0"/>
              <w:rPr>
                <w:highlight w:val="none"/>
              </w:rPr>
            </w:pPr>
            <w:r>
              <w:rPr>
                <w:rFonts w:ascii="Tinos" w:hAnsi="Tinos" w:eastAsia="Tinos" w:cs="Tinos"/>
                <w:sz w:val="20"/>
                <w:szCs w:val="20"/>
                <w:highlight w:val="none"/>
                <w:lang w:eastAsia="en-US"/>
              </w:rPr>
              <w:t xml:space="preserve">Ассистент оказывает </w:t>
            </w:r>
            <w:r>
              <w:rPr>
                <w:rFonts w:ascii="Tinos" w:hAnsi="Tinos" w:eastAsia="Tinos" w:cs="Tinos"/>
                <w:sz w:val="20"/>
                <w:szCs w:val="20"/>
                <w:highlight w:val="none"/>
                <w:lang w:eastAsia="en-US"/>
              </w:rPr>
              <w:t xml:space="preserve">помощь в при переносе </w:t>
            </w:r>
            <w:r>
              <w:rPr>
                <w:rFonts w:ascii="Tinos" w:hAnsi="Tinos" w:eastAsia="Tinos" w:cs="Tinos"/>
                <w:sz w:val="20"/>
                <w:szCs w:val="20"/>
                <w:highlight w:val="none"/>
                <w:lang w:eastAsia="en-US"/>
              </w:rPr>
              <w:t xml:space="preserve">контрольной суммы в </w:t>
            </w:r>
            <w:r>
              <w:rPr>
                <w:rFonts w:ascii="Tinos" w:hAnsi="Tinos" w:eastAsia="Tinos" w:cs="Tinos"/>
                <w:sz w:val="20"/>
                <w:szCs w:val="20"/>
                <w:highlight w:val="none"/>
                <w:lang w:eastAsia="en-US"/>
              </w:rPr>
              <w:t xml:space="preserve">бланк регистрации по </w:t>
            </w:r>
            <w:r>
              <w:rPr>
                <w:rFonts w:ascii="Tinos" w:hAnsi="Tinos" w:eastAsia="Tinos" w:cs="Tinos"/>
                <w:sz w:val="20"/>
                <w:szCs w:val="20"/>
                <w:highlight w:val="none"/>
                <w:lang w:eastAsia="en-US"/>
              </w:rPr>
              <w:t xml:space="preserve">окончании экзамена</w:t>
            </w:r>
            <w:r>
              <w:rPr>
                <w:rFonts w:ascii="Tinos" w:hAnsi="Tinos" w:eastAsia="Tinos" w:cs="Tinos"/>
                <w:sz w:val="20"/>
                <w:szCs w:val="20"/>
                <w:highlight w:val="none"/>
                <w:lang w:eastAsia="en-US"/>
              </w:rPr>
            </w:r>
            <w:r>
              <w:rPr>
                <w:highlight w:val="none"/>
              </w:rPr>
            </w:r>
          </w:p>
        </w:tc>
        <w:tc>
          <w:tcPr>
            <w:shd w:val="clear" w:color="auto" w:fill="auto"/>
            <w:tcW w:w="0" w:type="auto"/>
            <w:vMerge w:val="restart"/>
            <w:textDirection w:val="lrTb"/>
            <w:noWrap w:val="false"/>
          </w:tcPr>
          <w:p>
            <w:pPr>
              <w:ind w:right="111" w:firstLine="0"/>
              <w:jc w:val="left"/>
              <w:spacing w:before="0" w:beforeAutospacing="0" w:after="0" w:afterAutospacing="0" w:line="240" w:lineRule="auto"/>
              <w:rPr>
                <w:highlight w:val="none"/>
              </w:rPr>
            </w:pPr>
            <w:r>
              <w:rPr>
                <w:rFonts w:ascii="Tinos" w:hAnsi="Tinos" w:cs="Tinos"/>
                <w:sz w:val="20"/>
                <w:szCs w:val="20"/>
                <w:highlight w:val="none"/>
              </w:rPr>
            </w:r>
            <w:r>
              <w:rPr>
                <w:rFonts w:ascii="Tinos" w:hAnsi="Tinos" w:eastAsia="Tinos" w:cs="Tinos"/>
                <w:sz w:val="20"/>
                <w:szCs w:val="20"/>
                <w:highlight w:val="none"/>
                <w:lang w:val="ru-RU"/>
              </w:rPr>
              <w:t xml:space="preserve">Ассистент оформляет</w:t>
            </w:r>
            <w:r>
              <w:rPr>
                <w:rFonts w:ascii="Tinos" w:hAnsi="Tinos" w:eastAsia="Tinos" w:cs="Tinos"/>
                <w:sz w:val="20"/>
                <w:szCs w:val="20"/>
                <w:highlight w:val="none"/>
                <w:lang w:val="ru-RU"/>
              </w:rPr>
            </w:r>
            <w:r>
              <w:rPr>
                <w:highlight w:val="none"/>
              </w:rPr>
            </w:r>
          </w:p>
          <w:p>
            <w:pPr>
              <w:ind w:right="111"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регистрационный бланк</w:t>
            </w:r>
            <w:r>
              <w:rPr>
                <w:highlight w:val="none"/>
              </w:rPr>
            </w:r>
            <w:r>
              <w:rPr>
                <w:rFonts w:ascii="Tinos" w:hAnsi="Tinos" w:cs="Tinos"/>
                <w:sz w:val="20"/>
                <w:szCs w:val="20"/>
                <w:highlight w:val="none"/>
              </w:rPr>
            </w:r>
          </w:p>
        </w:tc>
      </w:tr>
      <w:tr>
        <w:tblPrEx/>
        <w:trPr>
          <w:cantSplit/>
          <w:trHeight w:val="20"/>
        </w:trPr>
        <w:tc>
          <w:tcPr>
            <w:shd w:val="clear" w:color="auto" w:fill="auto"/>
            <w:tcW w:w="0" w:type="auto"/>
            <w:vMerge w:val="continue"/>
            <w:textDirection w:val="lrTb"/>
            <w:noWrap w:val="false"/>
          </w:tcPr>
          <w:p>
            <w:pPr>
              <w:pStyle w:val="1003"/>
              <w:numPr>
                <w:ilvl w:val="0"/>
                <w:numId w:val="18"/>
              </w:numPr>
              <w:ind w:right="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right="84"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Рабочее место оборудовано компьютером с наушниками, портативным тактильным дисплеем Брайля, установленным специализированным ПО, обеспечивающим озвучивание элементов интерфейса и вводимых символов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6" w:right="111"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r>
      <w:tr>
        <w:tblPrEx/>
        <w:trPr>
          <w:cantSplit/>
          <w:trHeight w:val="230"/>
        </w:trPr>
        <w:tc>
          <w:tcPr>
            <w:shd w:val="clear" w:color="auto" w:fill="auto"/>
            <w:tcW w:w="0" w:type="auto"/>
            <w:vMerge w:val="restart"/>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Слабовидящие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7"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Увеличива-ется</w:t>
            </w:r>
            <w:r>
              <w:rPr>
                <w:rFonts w:ascii="Tinos" w:hAnsi="Tinos" w:eastAsia="Tinos" w:cs="Tinos"/>
                <w:sz w:val="20"/>
                <w:szCs w:val="20"/>
                <w:highlight w:val="none"/>
                <w:lang w:val="ru-RU"/>
              </w:rPr>
              <w:t xml:space="preserve"> на 1,5 часа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Отдельная аудитория, количество участников экзамена в одной аудитории – не более 10 чел.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restart"/>
            <w:textDirection w:val="lrTb"/>
            <w:noWrap w:val="false"/>
          </w:tcPr>
          <w:p>
            <w:pPr>
              <w:ind w:right="111" w:firstLine="0"/>
              <w:jc w:val="left"/>
              <w:spacing w:before="0" w:beforeAutospacing="0" w:after="0" w:afterAutospacing="0" w:line="240" w:lineRule="auto"/>
              <w:rPr>
                <w:rFonts w:ascii="Tinos" w:hAnsi="Tinos" w:cs="Tinos"/>
                <w:sz w:val="23"/>
                <w:szCs w:val="23"/>
                <w:highlight w:val="none"/>
              </w:rPr>
            </w:pPr>
            <w:r>
              <w:rPr>
                <w:rFonts w:ascii="Tinos" w:hAnsi="Tinos" w:eastAsia="Tinos" w:cs="Tinos"/>
                <w:sz w:val="20"/>
                <w:szCs w:val="20"/>
                <w:highlight w:val="none"/>
                <w:lang w:val="ru-RU"/>
              </w:rPr>
              <w:t xml:space="preserve">Участник экзамена может использовать бланк регистрации увеличенного размера (до А3)</w:t>
            </w:r>
            <w:r>
              <w:rPr>
                <w:rFonts w:ascii="Tinos" w:hAnsi="Tinos" w:eastAsia="Tinos" w:cs="Tinos"/>
                <w:sz w:val="23"/>
                <w:szCs w:val="23"/>
                <w:highlight w:val="none"/>
                <w:lang w:val="ru-RU"/>
              </w:rPr>
              <w:t xml:space="preserve"> </w:t>
            </w:r>
            <w:r>
              <w:rPr>
                <w:rFonts w:ascii="Tinos" w:hAnsi="Tinos" w:cs="Tinos"/>
                <w:sz w:val="23"/>
                <w:szCs w:val="23"/>
                <w:highlight w:val="none"/>
              </w:rPr>
            </w:r>
            <w:r>
              <w:rPr>
                <w:rFonts w:ascii="Tinos" w:hAnsi="Tinos" w:cs="Tinos"/>
                <w:sz w:val="23"/>
                <w:szCs w:val="23"/>
                <w:highlight w:val="none"/>
              </w:rPr>
            </w:r>
          </w:p>
        </w:tc>
      </w:tr>
      <w:tr>
        <w:tblPrEx/>
        <w:trPr>
          <w:cantSplit/>
          <w:trHeight w:val="20"/>
        </w:trPr>
        <w:tc>
          <w:tcPr>
            <w:shd w:val="clear" w:color="auto" w:fill="auto"/>
            <w:tcW w:w="0" w:type="auto"/>
            <w:vMerge w:val="continue"/>
            <w:textDirection w:val="lrTb"/>
            <w:noWrap w:val="false"/>
          </w:tcPr>
          <w:p>
            <w:pPr>
              <w:pStyle w:val="1003"/>
              <w:numPr>
                <w:ilvl w:val="0"/>
                <w:numId w:val="18"/>
              </w:numPr>
              <w:ind w:right="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right="84"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16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Индивидуальное равномерное освещение не ниже 300 люкс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6" w:right="111"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r>
      <w:tr>
        <w:tblPrEx/>
        <w:trPr>
          <w:cantSplit/>
          <w:trHeight w:val="20"/>
        </w:trPr>
        <w:tc>
          <w:tcPr>
            <w:shd w:val="clear" w:color="auto" w:fill="auto"/>
            <w:tcW w:w="0" w:type="auto"/>
            <w:vMerge w:val="continue"/>
            <w:textDirection w:val="lrTb"/>
            <w:noWrap w:val="false"/>
          </w:tcPr>
          <w:p>
            <w:pPr>
              <w:pStyle w:val="1003"/>
              <w:numPr>
                <w:ilvl w:val="0"/>
                <w:numId w:val="18"/>
              </w:numPr>
              <w:ind w:right="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right="84"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16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3"/>
                <w:szCs w:val="23"/>
                <w:highlight w:val="none"/>
              </w:rPr>
            </w:pPr>
            <w:r>
              <w:rPr>
                <w:rFonts w:ascii="Tinos" w:hAnsi="Tinos" w:eastAsia="Tinos" w:cs="Tinos"/>
                <w:sz w:val="20"/>
                <w:szCs w:val="20"/>
                <w:highlight w:val="none"/>
                <w:lang w:eastAsia="en-US"/>
              </w:rPr>
              <w:t xml:space="preserve">Рабочее мес</w:t>
            </w:r>
            <w:r>
              <w:rPr>
                <w:rFonts w:ascii="Tinos" w:hAnsi="Tinos" w:eastAsia="Tinos" w:cs="Tinos"/>
                <w:sz w:val="20"/>
                <w:szCs w:val="20"/>
                <w:highlight w:val="none"/>
                <w:lang w:eastAsia="en-US"/>
              </w:rPr>
              <w:t xml:space="preserve">то оборудовано компьютером с наушниками, установленным специализированном ПО, обеспечивающим озвучивание элементов интерфейса и вводимых символов, увеличение экрана, электронным увеличивающим устройством (при наличии), диагональ монитора не менее 19 дюймов</w:t>
            </w:r>
            <w:r>
              <w:rPr>
                <w:rFonts w:ascii="Tinos" w:hAnsi="Tinos" w:eastAsia="Tinos" w:cs="Tinos"/>
                <w:sz w:val="23"/>
                <w:szCs w:val="23"/>
                <w:highlight w:val="none"/>
              </w:rPr>
              <w:t xml:space="preserve"> </w:t>
            </w:r>
            <w:r>
              <w:rPr>
                <w:rFonts w:ascii="Tinos" w:hAnsi="Tinos" w:cs="Tinos"/>
                <w:sz w:val="23"/>
                <w:szCs w:val="23"/>
                <w:highlight w:val="none"/>
              </w:rPr>
            </w:r>
            <w:r>
              <w:rPr>
                <w:rFonts w:ascii="Tinos" w:hAnsi="Tinos" w:cs="Tinos"/>
                <w:sz w:val="23"/>
                <w:szCs w:val="23"/>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6" w:right="111"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r>
      <w:tr>
        <w:tblPrEx/>
        <w:trPr>
          <w:cantSplit/>
          <w:trHeight w:val="20"/>
        </w:trPr>
        <w:tc>
          <w:tcPr>
            <w:shd w:val="clear" w:color="auto" w:fill="auto"/>
            <w:tcW w:w="0" w:type="auto"/>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Глухие</w:t>
            </w:r>
            <w:r>
              <w:rPr>
                <w:rFonts w:ascii="Tinos" w:hAnsi="Tinos" w:eastAsia="Tinos" w:cs="Tinos"/>
                <w:sz w:val="20"/>
                <w:szCs w:val="20"/>
                <w:highlight w:val="none"/>
              </w:rPr>
              <w:t xml:space="preserve">, </w:t>
            </w:r>
            <w:r>
              <w:rPr>
                <w:rFonts w:ascii="Tinos" w:hAnsi="Tinos" w:eastAsia="Tinos" w:cs="Tinos"/>
                <w:sz w:val="20"/>
                <w:szCs w:val="20"/>
                <w:highlight w:val="none"/>
              </w:rPr>
              <w:t xml:space="preserve">позднооглохшие</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7"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Увеличива-ется</w:t>
            </w:r>
            <w:r>
              <w:rPr>
                <w:rFonts w:ascii="Tinos" w:hAnsi="Tinos" w:eastAsia="Tinos" w:cs="Tinos"/>
                <w:sz w:val="20"/>
                <w:szCs w:val="20"/>
                <w:highlight w:val="none"/>
                <w:lang w:val="ru-RU"/>
              </w:rPr>
              <w:t xml:space="preserve"> на 1,5 часа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pStyle w:val="1014"/>
              <w:ind w:right="148"/>
              <w:spacing w:before="0" w:beforeAutospacing="0" w:after="0" w:afterAutospacing="0"/>
              <w:rPr>
                <w:rFonts w:ascii="Tinos" w:hAnsi="Tinos" w:eastAsia="Tinos" w:cs="Tinos"/>
                <w:sz w:val="20"/>
                <w:szCs w:val="20"/>
                <w:highlight w:val="none"/>
              </w:rPr>
            </w:pPr>
            <w:r>
              <w:rPr>
                <w:rFonts w:ascii="Tinos" w:hAnsi="Tinos" w:eastAsia="Tinos" w:cs="Tinos"/>
                <w:sz w:val="20"/>
                <w:szCs w:val="20"/>
                <w:highlight w:val="none"/>
                <w:lang w:eastAsia="en-US"/>
              </w:rPr>
              <w:t xml:space="preserve">Отдельная аудитория, количество участников экзамена в одной аудитории – не более 6 чел.</w:t>
            </w:r>
            <w:r>
              <w:rPr>
                <w:rFonts w:ascii="Tinos" w:hAnsi="Tinos" w:eastAsia="Tinos" w:cs="Tinos"/>
                <w:sz w:val="20"/>
                <w:szCs w:val="20"/>
                <w:highlight w:val="none"/>
              </w:rPr>
            </w:r>
            <w:r>
              <w:rPr>
                <w:rFonts w:ascii="Tinos" w:hAnsi="Tinos" w:eastAsia="Tinos" w:cs="Tinos"/>
                <w:sz w:val="20"/>
                <w:szCs w:val="20"/>
                <w:highlight w:val="none"/>
              </w:rPr>
            </w:r>
          </w:p>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r>
            <w:r>
              <w:rPr>
                <w:rFonts w:ascii="Tinos" w:hAnsi="Tinos" w:eastAsia="Tinos" w:cs="Tinos"/>
                <w:sz w:val="20"/>
                <w:szCs w:val="20"/>
                <w:highlight w:val="none"/>
                <w:lang w:eastAsia="en-US"/>
              </w:rPr>
            </w:r>
            <w:r>
              <w:rPr>
                <w:rFonts w:ascii="Tinos" w:hAnsi="Tinos" w:cs="Tinos"/>
                <w:sz w:val="20"/>
                <w:szCs w:val="20"/>
                <w:highlight w:val="none"/>
              </w:rPr>
            </w:r>
          </w:p>
        </w:tc>
        <w:tc>
          <w:tcPr>
            <w:shd w:val="clear" w:color="auto" w:fill="auto"/>
            <w:tcW w:w="0" w:type="auto"/>
            <w:vMerge w:val="restart"/>
            <w:textDirection w:val="lrTb"/>
            <w:noWrap w:val="false"/>
          </w:tcPr>
          <w:p>
            <w:pPr>
              <w:pStyle w:val="1014"/>
              <w:ind w:right="135"/>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Ассистент-сурдопереводчик</w:t>
            </w:r>
            <w:r>
              <w:rPr>
                <w:rFonts w:ascii="Tinos" w:hAnsi="Tinos" w:eastAsia="Tinos" w:cs="Tinos"/>
                <w:sz w:val="20"/>
                <w:szCs w:val="20"/>
                <w:highlight w:val="none"/>
                <w:lang w:eastAsia="en-US"/>
              </w:rPr>
              <w:t xml:space="preserve">, осуществляет при необходимости жестовый перевод и разъяснение непонятных слов текста инструктажа, проводимого организаторами в аудитории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pStyle w:val="1014"/>
              <w:ind w:right="111"/>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Правила по заполнению </w:t>
            </w:r>
            <w:r>
              <w:rPr>
                <w:rFonts w:ascii="Tinos" w:hAnsi="Tinos" w:eastAsia="Tinos" w:cs="Tinos"/>
                <w:sz w:val="20"/>
                <w:szCs w:val="20"/>
                <w:highlight w:val="none"/>
                <w:lang w:eastAsia="en-US"/>
              </w:rPr>
              <w:t xml:space="preserve">бланков регистрации КЕГЭ в соответствии с Правилами заполнения бланков ЕГЭ </w:t>
            </w:r>
            <w:r>
              <w:rPr>
                <w:rFonts w:ascii="Tinos" w:hAnsi="Tinos" w:cs="Tinos"/>
                <w:sz w:val="20"/>
                <w:szCs w:val="20"/>
                <w:highlight w:val="none"/>
              </w:rPr>
            </w:r>
            <w:r>
              <w:rPr>
                <w:rFonts w:ascii="Tinos" w:hAnsi="Tinos" w:cs="Tinos"/>
                <w:sz w:val="20"/>
                <w:szCs w:val="20"/>
                <w:highlight w:val="none"/>
              </w:rPr>
            </w:r>
          </w:p>
        </w:tc>
      </w:tr>
      <w:tr>
        <w:tblPrEx/>
        <w:trPr>
          <w:cantSplit/>
          <w:trHeight w:val="230"/>
        </w:trPr>
        <w:tc>
          <w:tcPr>
            <w:shd w:val="clear" w:color="auto" w:fill="auto"/>
            <w:tcW w:w="0" w:type="auto"/>
            <w:vMerge w:val="restart"/>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4"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rPr>
              <w:t xml:space="preserve">Слабо</w:t>
            </w:r>
            <w:r>
              <w:rPr>
                <w:rFonts w:ascii="Tinos" w:hAnsi="Tinos" w:eastAsia="Tinos" w:cs="Tinos"/>
                <w:sz w:val="20"/>
                <w:szCs w:val="20"/>
                <w:highlight w:val="none"/>
              </w:rPr>
              <w:t xml:space="preserve">слышащие</w:t>
            </w:r>
            <w:r>
              <w:rPr>
                <w:rFonts w:ascii="Tinos" w:hAnsi="Tinos" w:eastAsia="Tinos" w:cs="Tinos"/>
                <w:sz w:val="20"/>
                <w:szCs w:val="20"/>
                <w:highlight w:val="none"/>
              </w:rPr>
              <w:t xml:space="preserve">, </w:t>
            </w:r>
            <w:r>
              <w:rPr>
                <w:rFonts w:ascii="Tinos" w:hAnsi="Tinos" w:eastAsia="Tinos" w:cs="Tinos"/>
                <w:sz w:val="20"/>
                <w:szCs w:val="20"/>
                <w:highlight w:val="none"/>
              </w:rPr>
              <w:t xml:space="preserve">кохлеарно</w:t>
            </w:r>
            <w:r>
              <w:rPr>
                <w:rFonts w:ascii="Tinos" w:hAnsi="Tinos" w:eastAsia="Tinos" w:cs="Tinos"/>
                <w:sz w:val="20"/>
                <w:szCs w:val="20"/>
                <w:highlight w:val="none"/>
              </w:rPr>
              <w:t xml:space="preserve"> </w:t>
            </w:r>
            <w:r>
              <w:rPr>
                <w:rFonts w:ascii="Tinos" w:hAnsi="Tinos" w:eastAsia="Tinos" w:cs="Tinos"/>
                <w:sz w:val="20"/>
                <w:szCs w:val="20"/>
                <w:highlight w:val="none"/>
              </w:rPr>
              <w:t xml:space="preserve">имплантированные</w:t>
            </w:r>
            <w:r>
              <w:rPr>
                <w:rFonts w:ascii="Tinos" w:hAnsi="Tinos" w:eastAsia="Tinos" w:cs="Tinos"/>
                <w:sz w:val="20"/>
                <w:szCs w:val="20"/>
                <w:highlight w:val="none"/>
              </w:rPr>
              <w:t xml:space="preserve">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7"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Увеличива-ется</w:t>
            </w:r>
            <w:r>
              <w:rPr>
                <w:rFonts w:ascii="Tinos" w:hAnsi="Tinos" w:eastAsia="Tinos" w:cs="Tinos"/>
                <w:sz w:val="20"/>
                <w:szCs w:val="20"/>
                <w:highlight w:val="none"/>
                <w:lang w:val="ru-RU"/>
              </w:rPr>
              <w:t xml:space="preserve"> на 1,5 часа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Отдельная аудитория, количество участников экзамена в одной аудитории – не более 10 чел.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6" w:right="111"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r>
      <w:tr>
        <w:tblPrEx/>
        <w:trPr>
          <w:cantSplit/>
          <w:trHeight w:val="20"/>
        </w:trPr>
        <w:tc>
          <w:tcPr>
            <w:shd w:val="clear" w:color="auto" w:fill="auto"/>
            <w:tcW w:w="0" w:type="auto"/>
            <w:vMerge w:val="continue"/>
            <w:textDirection w:val="lrTb"/>
            <w:noWrap w:val="false"/>
          </w:tcPr>
          <w:p>
            <w:pPr>
              <w:pStyle w:val="1003"/>
              <w:numPr>
                <w:ilvl w:val="0"/>
                <w:numId w:val="18"/>
              </w:numPr>
              <w:ind w:right="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right="84"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16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Наличие звукоусиливающей аппаратуры как коллективного, так и индивидуального пользования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6" w:right="111"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r>
      <w:tr>
        <w:tblPrEx/>
        <w:trPr>
          <w:cantSplit/>
          <w:trHeight w:val="20"/>
        </w:trPr>
        <w:tc>
          <w:tcPr>
            <w:shd w:val="clear" w:color="auto" w:fill="auto"/>
            <w:tcW w:w="0" w:type="auto"/>
            <w:vMerge w:val="restart"/>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4"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С нарушениями опорно-двигательного аппарата </w:t>
            </w:r>
            <w:r>
              <w:rPr>
                <w:rFonts w:ascii="Tinos" w:hAnsi="Tinos" w:cs="Tinos"/>
                <w:sz w:val="20"/>
                <w:szCs w:val="20"/>
                <w:highlight w:val="none"/>
              </w:rPr>
            </w:r>
            <w:r>
              <w:rPr>
                <w:rFonts w:ascii="Tinos" w:hAnsi="Tinos" w:cs="Tinos"/>
                <w:sz w:val="20"/>
                <w:szCs w:val="20"/>
                <w:highlight w:val="none"/>
              </w:rPr>
            </w:r>
          </w:p>
          <w:p>
            <w:pPr>
              <w:ind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left="7"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Увеличива-ется</w:t>
            </w:r>
            <w:r>
              <w:rPr>
                <w:rFonts w:ascii="Tinos" w:hAnsi="Tinos" w:eastAsia="Tinos" w:cs="Tinos"/>
                <w:sz w:val="20"/>
                <w:szCs w:val="20"/>
                <w:highlight w:val="none"/>
                <w:lang w:val="ru-RU"/>
              </w:rPr>
              <w:t xml:space="preserve"> на 1,5 часа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Отдельная аудитория, количество участников экзамена в одной аудитории – не более 10 чел. </w:t>
            </w:r>
            <w:r>
              <w:rPr>
                <w:rFonts w:ascii="Tinos" w:hAnsi="Tinos" w:cs="Tinos"/>
                <w:sz w:val="20"/>
                <w:szCs w:val="20"/>
                <w:highlight w:val="none"/>
              </w:rPr>
            </w:r>
            <w:r>
              <w:rPr>
                <w:rFonts w:ascii="Tinos" w:hAnsi="Tinos" w:cs="Tinos"/>
                <w:sz w:val="20"/>
                <w:szCs w:val="20"/>
                <w:highlight w:val="none"/>
              </w:rPr>
            </w:r>
          </w:p>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Отдельные аудитории в ППЭ должны находиться на первых этажах. </w:t>
            </w:r>
            <w:r>
              <w:rPr>
                <w:rFonts w:ascii="Tinos" w:hAnsi="Tinos" w:cs="Tinos"/>
                <w:sz w:val="20"/>
                <w:szCs w:val="20"/>
                <w:highlight w:val="none"/>
              </w:rPr>
            </w:r>
            <w:r>
              <w:rPr>
                <w:rFonts w:ascii="Tinos" w:hAnsi="Tinos" w:cs="Tinos"/>
                <w:sz w:val="20"/>
                <w:szCs w:val="20"/>
                <w:highlight w:val="none"/>
              </w:rPr>
            </w:r>
          </w:p>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В ППЭ – пандусы и поручни, в помещении – специальные кресла, медицинские лежаки – для детей, которые не могут долго сидеть. </w:t>
            </w:r>
            <w:r>
              <w:rPr>
                <w:rFonts w:ascii="Tinos" w:hAnsi="Tinos" w:cs="Tinos"/>
                <w:sz w:val="20"/>
                <w:szCs w:val="20"/>
                <w:highlight w:val="none"/>
              </w:rPr>
            </w:r>
            <w:r>
              <w:rPr>
                <w:rFonts w:ascii="Tinos" w:hAnsi="Tinos" w:cs="Tinos"/>
                <w:sz w:val="20"/>
                <w:szCs w:val="20"/>
                <w:highlight w:val="none"/>
              </w:rPr>
            </w:r>
          </w:p>
          <w:p>
            <w:pPr>
              <w:ind w:right="148"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В туалетных помещениях также предусмотреть расширенные дверные проемы и поручни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right="13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Асси</w:t>
            </w:r>
            <w:r>
              <w:rPr>
                <w:rFonts w:ascii="Tinos" w:hAnsi="Tinos" w:eastAsia="Tinos" w:cs="Tinos"/>
                <w:sz w:val="20"/>
                <w:szCs w:val="20"/>
                <w:highlight w:val="none"/>
                <w:lang w:val="ru-RU"/>
              </w:rPr>
              <w:t xml:space="preserve">стенты могут при необходимости в течение всего экзамена оказывать помощь в сопровождении выпускников с ограниченной мобильностью (помогают сменить положение в колясках, креслах, лежаках, фиксировать положение в кресле, укрепить и поправить протезы и т.п.) </w:t>
            </w:r>
            <w:r>
              <w:rPr>
                <w:rFonts w:ascii="Tinos" w:hAnsi="Tinos" w:cs="Tinos"/>
                <w:sz w:val="20"/>
                <w:szCs w:val="20"/>
                <w:highlight w:val="none"/>
              </w:rPr>
            </w:r>
            <w:r>
              <w:rPr>
                <w:rFonts w:ascii="Tinos" w:hAnsi="Tinos" w:cs="Tinos"/>
                <w:sz w:val="20"/>
                <w:szCs w:val="20"/>
                <w:highlight w:val="none"/>
              </w:rPr>
            </w:r>
          </w:p>
          <w:p>
            <w:pPr>
              <w:ind w:right="13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По окончании выполнения участником ЭР ассистент переносит контрольную сумму в бланк регистрации</w:t>
            </w:r>
            <w:r>
              <w:rPr>
                <w:rFonts w:ascii="Tinos" w:hAnsi="Tinos" w:eastAsia="Tinos" w:cs="Tinos"/>
                <w:sz w:val="23"/>
                <w:szCs w:val="23"/>
                <w:highlight w:val="none"/>
                <w:lang w:val="ru-RU"/>
              </w:rPr>
              <w:t xml:space="preserve">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restart"/>
            <w:textDirection w:val="lrTb"/>
            <w:noWrap w:val="false"/>
          </w:tcPr>
          <w:p>
            <w:pPr>
              <w:ind w:right="111"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Ассистент оформляет регистрационный бланк </w:t>
            </w:r>
            <w:r>
              <w:rPr>
                <w:rFonts w:ascii="Tinos" w:hAnsi="Tinos" w:cs="Tinos"/>
                <w:sz w:val="20"/>
                <w:szCs w:val="20"/>
                <w:highlight w:val="none"/>
              </w:rPr>
            </w:r>
            <w:r>
              <w:rPr>
                <w:rFonts w:ascii="Tinos" w:hAnsi="Tinos" w:cs="Tinos"/>
                <w:sz w:val="20"/>
                <w:szCs w:val="20"/>
                <w:highlight w:val="none"/>
              </w:rPr>
            </w:r>
          </w:p>
          <w:p>
            <w:pPr>
              <w:ind w:left="0" w:right="111"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r>
      <w:tr>
        <w:tblPrEx/>
        <w:trPr>
          <w:cantSplit/>
          <w:trHeight w:val="20"/>
        </w:trPr>
        <w:tc>
          <w:tcPr>
            <w:shd w:val="clear" w:color="auto" w:fill="auto"/>
            <w:tcW w:w="0" w:type="auto"/>
            <w:vMerge w:val="continue"/>
            <w:textDirection w:val="lrTb"/>
            <w:noWrap w:val="false"/>
          </w:tcPr>
          <w:p>
            <w:pPr>
              <w:pStyle w:val="1003"/>
              <w:numPr>
                <w:ilvl w:val="0"/>
                <w:numId w:val="18"/>
              </w:numPr>
              <w:ind w:right="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right="84"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16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7"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Рабочее мест</w:t>
            </w:r>
            <w:r>
              <w:rPr>
                <w:rFonts w:ascii="Tinos" w:hAnsi="Tinos" w:eastAsia="Tinos" w:cs="Tinos"/>
                <w:sz w:val="20"/>
                <w:szCs w:val="20"/>
                <w:highlight w:val="none"/>
                <w:lang w:eastAsia="en-US"/>
              </w:rPr>
              <w:t xml:space="preserve">о оборудовано компьютером со специальным периферическим устройством ввода (ножная мышь, роллер, джойстик, головная мышь и др.), клавиатурой с увеличенным размером клавиш или виртуальной клавиатурой, обеспечена возможность подключения специальных настроек: </w:t>
            </w:r>
            <w:r>
              <w:rPr>
                <w:rFonts w:ascii="Tinos" w:hAnsi="Tinos" w:cs="Tinos"/>
                <w:sz w:val="20"/>
                <w:szCs w:val="20"/>
                <w:highlight w:val="none"/>
              </w:rPr>
            </w:r>
            <w:r>
              <w:rPr>
                <w:rFonts w:ascii="Tinos" w:hAnsi="Tinos" w:cs="Tinos"/>
                <w:sz w:val="20"/>
                <w:szCs w:val="20"/>
                <w:highlight w:val="none"/>
              </w:rPr>
            </w:r>
          </w:p>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увеличение курсора, замедление скорости перемещения курсора, включение опции увеличения области просмотра и др.), диагональ монитора не менее 19 дюймов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vMerge w:val="continue"/>
            <w:textDirection w:val="lrTb"/>
            <w:noWrap w:val="false"/>
          </w:tcPr>
          <w:p>
            <w:pPr>
              <w:ind w:right="135"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c>
          <w:tcPr>
            <w:shd w:val="clear" w:color="auto" w:fill="auto"/>
            <w:tcW w:w="0" w:type="auto"/>
            <w:vMerge w:val="continue"/>
            <w:textDirection w:val="lrTb"/>
            <w:noWrap w:val="false"/>
          </w:tcPr>
          <w:p>
            <w:pPr>
              <w:ind w:left="6" w:right="0" w:firstLine="0"/>
              <w:jc w:val="left"/>
              <w:spacing w:after="0" w:line="240" w:lineRule="auto"/>
              <w:rPr>
                <w:sz w:val="20"/>
                <w:szCs w:val="20"/>
                <w:lang w:val="ru-RU"/>
              </w:rPr>
            </w:pPr>
            <w:r>
              <w:rPr>
                <w:sz w:val="20"/>
                <w:szCs w:val="20"/>
                <w:lang w:val="ru-RU"/>
              </w:rPr>
            </w:r>
            <w:r>
              <w:rPr>
                <w:sz w:val="20"/>
                <w:szCs w:val="20"/>
                <w:lang w:val="ru-RU"/>
              </w:rPr>
            </w:r>
            <w:r>
              <w:rPr>
                <w:sz w:val="20"/>
                <w:szCs w:val="20"/>
                <w:lang w:val="ru-RU"/>
              </w:rPr>
            </w:r>
          </w:p>
        </w:tc>
      </w:tr>
      <w:tr>
        <w:tblPrEx/>
        <w:trPr>
          <w:cantSplit/>
          <w:trHeight w:val="20"/>
        </w:trPr>
        <w:tc>
          <w:tcPr>
            <w:shd w:val="clear" w:color="auto" w:fill="auto"/>
            <w:tcW w:w="0" w:type="auto"/>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4"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Обучающиеся</w:t>
            </w:r>
            <w:r>
              <w:rPr>
                <w:rFonts w:ascii="Tinos" w:hAnsi="Tinos" w:eastAsia="Tinos" w:cs="Tinos"/>
                <w:sz w:val="20"/>
                <w:szCs w:val="20"/>
                <w:highlight w:val="none"/>
                <w:lang w:val="ru-RU"/>
              </w:rPr>
              <w:t xml:space="preserve"> с расстройствами </w:t>
            </w:r>
            <w:r>
              <w:rPr>
                <w:rFonts w:ascii="Tinos" w:hAnsi="Tinos" w:eastAsia="Tinos" w:cs="Tinos"/>
                <w:sz w:val="20"/>
                <w:szCs w:val="20"/>
                <w:highlight w:val="none"/>
                <w:lang w:val="ru-RU"/>
              </w:rPr>
              <w:t xml:space="preserve">аутистического</w:t>
            </w:r>
            <w:r>
              <w:rPr>
                <w:rFonts w:ascii="Tinos" w:hAnsi="Tinos" w:eastAsia="Tinos" w:cs="Tinos"/>
                <w:sz w:val="20"/>
                <w:szCs w:val="20"/>
                <w:highlight w:val="none"/>
                <w:lang w:val="ru-RU"/>
              </w:rPr>
              <w:t xml:space="preserve"> спектра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7"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Увеличива-ется</w:t>
            </w:r>
            <w:r>
              <w:rPr>
                <w:rFonts w:ascii="Tinos" w:hAnsi="Tinos" w:eastAsia="Tinos" w:cs="Tinos"/>
                <w:sz w:val="20"/>
                <w:szCs w:val="20"/>
                <w:highlight w:val="none"/>
                <w:lang w:val="ru-RU"/>
              </w:rPr>
              <w:t xml:space="preserve"> на 1,5 часа</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pStyle w:val="1014"/>
              <w:ind w:right="148"/>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Отдельная аудитория, количество участников экзамена в одной аудитории – не более 5 чел.</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pStyle w:val="1014"/>
              <w:ind w:right="135"/>
              <w:spacing w:before="0" w:beforeAutospacing="0" w:after="0" w:afterAutospacing="0"/>
              <w:rPr>
                <w:rFonts w:ascii="Tinos" w:hAnsi="Tinos" w:cs="Tinos"/>
                <w:sz w:val="20"/>
                <w:szCs w:val="20"/>
                <w:highlight w:val="none"/>
              </w:rPr>
            </w:pPr>
            <w:r>
              <w:rPr>
                <w:rFonts w:ascii="Tinos" w:hAnsi="Tinos" w:eastAsia="Tinos" w:cs="Tinos"/>
                <w:sz w:val="20"/>
                <w:szCs w:val="20"/>
                <w:highlight w:val="none"/>
                <w:lang w:eastAsia="en-US"/>
              </w:rPr>
              <w:t xml:space="preserve">Ассистент помогает участнику занять место в аудитории, предотвращает аффективные реакции на новую стрессовую обстановку, возникающую во время проведения экзамена </w:t>
            </w:r>
            <w:r>
              <w:rPr>
                <w:rFonts w:ascii="Tinos" w:hAnsi="Tinos" w:cs="Tinos"/>
                <w:sz w:val="20"/>
                <w:szCs w:val="20"/>
                <w:highlight w:val="none"/>
              </w:rPr>
            </w:r>
            <w:r>
              <w:rPr>
                <w:rFonts w:ascii="Tinos" w:hAnsi="Tinos" w:cs="Tinos"/>
                <w:sz w:val="20"/>
                <w:szCs w:val="20"/>
                <w:highlight w:val="none"/>
              </w:rPr>
            </w:r>
          </w:p>
          <w:p>
            <w:pPr>
              <w:ind w:right="13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6" w:right="0"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w:t>
            </w:r>
            <w:r>
              <w:rPr>
                <w:rFonts w:ascii="Tinos" w:hAnsi="Tinos" w:cs="Tinos"/>
                <w:sz w:val="20"/>
                <w:szCs w:val="20"/>
                <w:highlight w:val="none"/>
              </w:rPr>
            </w:r>
            <w:r>
              <w:rPr>
                <w:rFonts w:ascii="Tinos" w:hAnsi="Tinos" w:cs="Tinos"/>
                <w:sz w:val="20"/>
                <w:szCs w:val="20"/>
                <w:highlight w:val="none"/>
              </w:rPr>
            </w:r>
          </w:p>
        </w:tc>
      </w:tr>
      <w:tr>
        <w:tblPrEx/>
        <w:trPr>
          <w:cantSplit/>
          <w:trHeight w:val="20"/>
        </w:trPr>
        <w:tc>
          <w:tcPr>
            <w:shd w:val="clear" w:color="auto" w:fill="auto"/>
            <w:tcW w:w="0" w:type="auto"/>
            <w:textDirection w:val="lrTb"/>
            <w:noWrap w:val="false"/>
          </w:tcPr>
          <w:p>
            <w:pPr>
              <w:pStyle w:val="1003"/>
              <w:numPr>
                <w:ilvl w:val="0"/>
                <w:numId w:val="18"/>
              </w:numPr>
              <w:ind w:right="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4" w:right="84"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Иные категории участников экзамена, которым требуется создание специальных условий </w:t>
            </w:r>
            <w:r>
              <w:rPr>
                <w:rFonts w:ascii="Tinos" w:hAnsi="Tinos" w:cs="Tinos"/>
                <w:sz w:val="20"/>
                <w:szCs w:val="20"/>
                <w:highlight w:val="none"/>
              </w:rPr>
            </w:r>
            <w:r>
              <w:rPr>
                <w:rFonts w:ascii="Tinos" w:hAnsi="Tinos" w:cs="Tinos"/>
                <w:sz w:val="20"/>
                <w:szCs w:val="20"/>
                <w:highlight w:val="none"/>
              </w:rPr>
            </w:r>
          </w:p>
        </w:tc>
        <w:tc>
          <w:tcPr>
            <w:shd w:val="clear" w:color="auto" w:fill="auto"/>
            <w:tcW w:w="0" w:type="auto"/>
            <w:textDirection w:val="lrTb"/>
            <w:noWrap w:val="false"/>
          </w:tcPr>
          <w:p>
            <w:pPr>
              <w:ind w:left="7" w:right="165" w:firstLine="0"/>
              <w:jc w:val="left"/>
              <w:spacing w:before="0" w:beforeAutospacing="0" w:after="0" w:afterAutospacing="0" w:line="240" w:lineRule="auto"/>
              <w:rPr>
                <w:rFonts w:ascii="Tinos" w:hAnsi="Tinos" w:cs="Tinos"/>
                <w:sz w:val="20"/>
                <w:szCs w:val="20"/>
                <w:highlight w:val="none"/>
              </w:rPr>
            </w:pPr>
            <w:r>
              <w:rPr>
                <w:rFonts w:ascii="Tinos" w:hAnsi="Tinos" w:eastAsia="Tinos" w:cs="Tinos"/>
                <w:sz w:val="20"/>
                <w:szCs w:val="20"/>
                <w:highlight w:val="none"/>
                <w:lang w:val="ru-RU"/>
              </w:rPr>
              <w:t xml:space="preserve">нет</w:t>
            </w:r>
            <w:r>
              <w:rPr>
                <w:rFonts w:ascii="Tinos" w:hAnsi="Tinos" w:cs="Tinos"/>
                <w:sz w:val="20"/>
                <w:szCs w:val="20"/>
                <w:highlight w:val="none"/>
              </w:rPr>
            </w:r>
            <w:r>
              <w:rPr>
                <w:rFonts w:ascii="Tinos" w:hAnsi="Tinos" w:cs="Tinos"/>
                <w:sz w:val="20"/>
                <w:szCs w:val="20"/>
                <w:highlight w:val="none"/>
              </w:rPr>
            </w:r>
          </w:p>
        </w:tc>
        <w:tc>
          <w:tcPr>
            <w:gridSpan w:val="4"/>
            <w:shd w:val="clear" w:color="auto" w:fill="auto"/>
            <w:tcW w:w="0" w:type="auto"/>
            <w:textDirection w:val="lrTb"/>
            <w:noWrap w:val="false"/>
          </w:tcPr>
          <w:p>
            <w:pPr>
              <w:pStyle w:val="1014"/>
              <w:ind w:right="164"/>
              <w:spacing w:before="0" w:beforeAutospacing="0" w:after="0" w:afterAutospacing="0"/>
              <w:rPr>
                <w:rFonts w:ascii="Tinos" w:hAnsi="Tinos" w:cs="Tinos"/>
                <w:sz w:val="23"/>
                <w:szCs w:val="23"/>
                <w:highlight w:val="none"/>
              </w:rPr>
            </w:pPr>
            <w:r>
              <w:rPr>
                <w:rFonts w:ascii="Tinos" w:hAnsi="Tinos" w:eastAsia="Tinos" w:cs="Tinos"/>
                <w:sz w:val="20"/>
                <w:szCs w:val="20"/>
                <w:highlight w:val="none"/>
                <w:lang w:eastAsia="en-US"/>
              </w:rPr>
              <w:t xml:space="preserve">В соответствии с рекомендациями ПМПК</w:t>
            </w:r>
            <w:r>
              <w:rPr>
                <w:rFonts w:ascii="Tinos" w:hAnsi="Tinos" w:cs="Tinos"/>
                <w:sz w:val="23"/>
                <w:szCs w:val="23"/>
                <w:highlight w:val="none"/>
              </w:rPr>
            </w:r>
            <w:r>
              <w:rPr>
                <w:rFonts w:ascii="Tinos" w:hAnsi="Tinos" w:cs="Tinos"/>
                <w:sz w:val="23"/>
                <w:szCs w:val="23"/>
                <w:highlight w:val="none"/>
              </w:rPr>
            </w:r>
          </w:p>
        </w:tc>
      </w:tr>
    </w:tbl>
    <w:p>
      <w:pPr>
        <w:ind w:right="0" w:firstLine="0"/>
        <w:jc w:val="left"/>
        <w:spacing w:before="0" w:beforeAutospacing="0" w:after="0" w:afterAutospacing="0" w:line="240" w:lineRule="auto"/>
        <w:rPr>
          <w:rFonts w:ascii="Tinos" w:hAnsi="Tinos" w:cs="Tinos"/>
          <w:bCs/>
          <w:sz w:val="28"/>
          <w:szCs w:val="28"/>
          <w:highlight w:val="cyan"/>
        </w:rPr>
      </w:pPr>
      <w:r>
        <w:rPr>
          <w:rFonts w:ascii="Tinos" w:hAnsi="Tinos" w:eastAsia="Tinos" w:cs="Tinos"/>
          <w:bCs/>
          <w:sz w:val="28"/>
          <w:szCs w:val="28"/>
          <w:highlight w:val="cyan"/>
          <w:lang w:val="ru-RU" w:eastAsia="ru-RU"/>
        </w:rPr>
        <w:br w:type="page" w:clear="all"/>
      </w:r>
      <w:r>
        <w:rPr>
          <w:rFonts w:ascii="Tinos" w:hAnsi="Tinos" w:cs="Tinos"/>
          <w:bCs/>
          <w:sz w:val="28"/>
          <w:szCs w:val="28"/>
          <w:highlight w:val="cyan"/>
        </w:rPr>
      </w:r>
      <w:r>
        <w:rPr>
          <w:rFonts w:ascii="Tinos" w:hAnsi="Tinos" w:cs="Tinos"/>
          <w:bCs/>
          <w:sz w:val="28"/>
          <w:szCs w:val="28"/>
          <w:highlight w:val="cyan"/>
        </w:rPr>
      </w:r>
    </w:p>
    <w:p>
      <w:pPr>
        <w:pStyle w:val="1003"/>
        <w:numPr>
          <w:ilvl w:val="0"/>
          <w:numId w:val="1"/>
        </w:numPr>
        <w:ind w:left="0" w:firstLine="709"/>
        <w:jc w:val="left"/>
        <w:spacing w:before="0" w:beforeAutospacing="0" w:after="0" w:afterAutospacing="0" w:line="240" w:lineRule="auto"/>
        <w:rPr>
          <w:rFonts w:ascii="Tinos" w:hAnsi="Tinos" w:cs="Tinos"/>
          <w:highlight w:val="none"/>
        </w:rPr>
      </w:pPr>
      <w:r>
        <w:rPr>
          <w:rFonts w:ascii="Tinos" w:hAnsi="Tinos" w:eastAsia="Tinos" w:cs="Tinos"/>
          <w:highlight w:val="none"/>
          <w:lang w:val="ru-RU"/>
        </w:rPr>
        <w:t xml:space="preserve">Че</w:t>
      </w:r>
      <w:r>
        <w:rPr>
          <w:rFonts w:ascii="Tinos" w:hAnsi="Tinos" w:eastAsia="Tinos" w:cs="Tinos"/>
          <w:highlight w:val="none"/>
          <w:lang w:val="ru-RU"/>
        </w:rPr>
        <w:t xml:space="preserve">рновик участника ЕГЭ по информатике в компьютерной форме</w:t>
      </w:r>
      <w:r>
        <w:rPr>
          <w:rFonts w:ascii="Tinos" w:hAnsi="Tinos" w:cs="Tinos"/>
          <w:highlight w:val="none"/>
        </w:rPr>
      </w:r>
      <w:r>
        <w:rPr>
          <w:rFonts w:ascii="Tinos" w:hAnsi="Tinos" w:cs="Tinos"/>
          <w:highlight w:val="none"/>
        </w:rPr>
      </w:r>
    </w:p>
    <w:p>
      <w:pPr>
        <w:ind w:left="709" w:right="-1" w:firstLine="0"/>
        <w:jc w:val="center"/>
        <w:spacing w:before="0" w:beforeAutospacing="0" w:after="0" w:afterAutospacing="0" w:line="240" w:lineRule="auto"/>
        <w:rPr>
          <w:rFonts w:ascii="Tinos" w:hAnsi="Tinos" w:cs="Tinos"/>
          <w:highlight w:val="none"/>
        </w:rPr>
      </w:pPr>
      <w:r>
        <w:rPr>
          <w:rFonts w:ascii="Tinos" w:hAnsi="Tinos" w:eastAsia="Tinos" w:cs="Tinos"/>
          <w:highlight w:val="none"/>
          <w:lang w:val="ru-RU" w:eastAsia="ru-RU"/>
        </w:rPr>
      </w:r>
      <w:r>
        <w:rPr>
          <w:rFonts w:ascii="Tinos" w:hAnsi="Tinos" w:cs="Tinos"/>
          <w:highlight w:val="none"/>
        </w:rPr>
      </w:r>
      <w:r>
        <w:rPr>
          <w:rFonts w:ascii="Tinos" w:hAnsi="Tinos" w:cs="Tinos"/>
          <w:highlight w:val="none"/>
        </w:rPr>
      </w:r>
    </w:p>
    <w:p>
      <w:pPr>
        <w:ind w:right="0" w:firstLine="0"/>
        <w:jc w:val="center"/>
        <w:spacing w:before="0" w:beforeAutospacing="0" w:after="0" w:afterAutospacing="0" w:line="240" w:lineRule="auto"/>
        <w:rPr>
          <w:rFonts w:ascii="Tinos" w:hAnsi="Tinos" w:cs="Tinos"/>
          <w:highlight w:val="none"/>
        </w:rPr>
      </w:pPr>
      <w:r>
        <w:rPr>
          <w:rFonts w:ascii="Tinos" w:hAnsi="Tinos" w:eastAsia="Tinos" w:cs="Tinos"/>
          <w:highlight w:val="none"/>
          <w:lang w:val="ru-RU" w:eastAsia="ru-RU"/>
        </w:rPr>
      </w:r>
      <w:r>
        <w:rPr>
          <w:highlight w:val="none"/>
        </w:rPr>
        <mc:AlternateContent>
          <mc:Choice Requires="wpg">
            <w:drawing>
              <wp:inline xmlns:wp="http://schemas.openxmlformats.org/drawingml/2006/wordprocessingDrawing" distT="0" distB="0" distL="0" distR="0">
                <wp:extent cx="7455075" cy="5724312"/>
                <wp:effectExtent l="0" t="0" r="0" b="0"/>
                <wp:docPr id="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545246" name=""/>
                        <pic:cNvPicPr>
                          <a:picLocks noChangeAspect="1"/>
                        </pic:cNvPicPr>
                        <pic:nvPr/>
                      </pic:nvPicPr>
                      <pic:blipFill>
                        <a:blip r:embed="rId14"/>
                        <a:stretch/>
                      </pic:blipFill>
                      <pic:spPr bwMode="auto">
                        <a:xfrm flipH="0" flipV="0">
                          <a:off x="0" y="0"/>
                          <a:ext cx="7455074" cy="572431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width:587.01pt;height:450.73pt;mso-wrap-distance-left:0.00pt;mso-wrap-distance-top:0.00pt;mso-wrap-distance-right:0.00pt;mso-wrap-distance-bottom:0.00pt;" stroked="false">
                <v:path textboxrect="0,0,0,0"/>
                <v:imagedata r:id="rId14" o:title=""/>
              </v:shape>
            </w:pict>
          </mc:Fallback>
        </mc:AlternateContent>
      </w:r>
      <w:r>
        <w:rPr>
          <w:rFonts w:ascii="Tinos" w:hAnsi="Tinos" w:cs="Tinos"/>
          <w:highlight w:val="none"/>
        </w:rPr>
      </w:r>
      <w:r>
        <w:rPr>
          <w:rFonts w:ascii="Tinos" w:hAnsi="Tinos" w:cs="Tinos"/>
          <w:highlight w:val="none"/>
        </w:rPr>
      </w:r>
    </w:p>
    <w:p>
      <w:pPr>
        <w:ind w:right="0" w:firstLine="0"/>
        <w:jc w:val="left"/>
        <w:spacing w:before="0" w:beforeAutospacing="0" w:after="0" w:afterAutospacing="0" w:line="240" w:lineRule="auto"/>
        <w:rPr>
          <w:rFonts w:ascii="Tinos" w:hAnsi="Tinos" w:cs="Tinos"/>
          <w:highlight w:val="none"/>
        </w:rPr>
      </w:pPr>
      <w:r>
        <w:rPr>
          <w:rFonts w:ascii="Tinos" w:hAnsi="Tinos" w:eastAsia="Tinos" w:cs="Tinos"/>
          <w:highlight w:val="none"/>
          <w:lang w:val="ru-RU" w:eastAsia="ru-RU"/>
        </w:rPr>
      </w:r>
      <w:r>
        <w:rPr>
          <w:rFonts w:ascii="Tinos" w:hAnsi="Tinos" w:eastAsia="Tinos" w:cs="Tinos"/>
          <w:highlight w:val="none"/>
          <w:lang w:val="ru-RU"/>
        </w:rPr>
        <w:t xml:space="preserve"> </w:t>
      </w:r>
      <w:r>
        <w:rPr>
          <w:rFonts w:ascii="Tinos" w:hAnsi="Tinos" w:eastAsia="Tinos" w:cs="Tinos"/>
          <w:highlight w:val="none"/>
          <w:lang w:val="ru-RU"/>
        </w:rPr>
        <w:br w:type="page" w:clear="all"/>
      </w:r>
      <w:r>
        <w:rPr>
          <w:rFonts w:ascii="Tinos" w:hAnsi="Tinos" w:cs="Tinos"/>
          <w:highlight w:val="none"/>
        </w:rPr>
      </w:r>
      <w:r>
        <w:rPr>
          <w:rFonts w:ascii="Tinos" w:hAnsi="Tinos" w:cs="Tinos"/>
          <w:highlight w:val="none"/>
        </w:rPr>
      </w:r>
    </w:p>
    <w:p>
      <w:pPr>
        <w:ind w:right="0" w:firstLine="0"/>
        <w:jc w:val="center"/>
        <w:spacing w:before="0" w:beforeAutospacing="0" w:after="0" w:afterAutospacing="0" w:line="240" w:lineRule="auto"/>
        <w:rPr>
          <w:rFonts w:ascii="Tinos" w:hAnsi="Tinos" w:cs="Tinos"/>
          <w:highlight w:val="none"/>
        </w:rPr>
      </w:pPr>
      <w:r>
        <w:rPr>
          <w:rFonts w:ascii="Tinos" w:hAnsi="Tinos" w:eastAsia="Tinos" w:cs="Tinos"/>
          <w:highlight w:val="none"/>
          <w:lang w:val="ru-RU" w:eastAsia="ru-RU"/>
        </w:rPr>
      </w:r>
      <w:r>
        <w:rPr>
          <w:rFonts w:ascii="Tinos" w:hAnsi="Tinos" w:eastAsia="Tinos" w:cs="Tinos"/>
          <w:highlight w:val="none"/>
          <w:lang w:val="ru-RU"/>
        </w:rPr>
        <w:t xml:space="preserve"> </w:t>
      </w:r>
      <w:r>
        <w:rPr>
          <w:highlight w:val="none"/>
        </w:rPr>
        <mc:AlternateContent>
          <mc:Choice Requires="wpg">
            <w:drawing>
              <wp:inline xmlns:wp="http://schemas.openxmlformats.org/drawingml/2006/wordprocessingDrawing" distT="0" distB="0" distL="0" distR="0">
                <wp:extent cx="8693990" cy="6480175"/>
                <wp:effectExtent l="0" t="0" r="0" b="0"/>
                <wp:docPr id="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110368" name=""/>
                        <pic:cNvPicPr>
                          <a:picLocks noChangeAspect="1"/>
                        </pic:cNvPicPr>
                        <pic:nvPr/>
                      </pic:nvPicPr>
                      <pic:blipFill>
                        <a:blip r:embed="rId15"/>
                        <a:stretch/>
                      </pic:blipFill>
                      <pic:spPr bwMode="auto">
                        <a:xfrm>
                          <a:off x="0" y="0"/>
                          <a:ext cx="8693990" cy="64801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684.57pt;height:510.25pt;mso-wrap-distance-left:0.00pt;mso-wrap-distance-top:0.00pt;mso-wrap-distance-right:0.00pt;mso-wrap-distance-bottom:0.00pt;" stroked="false">
                <v:path textboxrect="0,0,0,0"/>
                <v:imagedata r:id="rId15" o:title=""/>
              </v:shape>
            </w:pict>
          </mc:Fallback>
        </mc:AlternateContent>
      </w:r>
      <w:r>
        <w:rPr>
          <w:rFonts w:ascii="Tinos" w:hAnsi="Tinos" w:eastAsia="Tinos" w:cs="Tinos"/>
          <w:highlight w:val="none"/>
          <w:lang w:val="ru-RU"/>
        </w:rPr>
        <w:br w:type="page" w:clear="all"/>
      </w:r>
      <w:r>
        <w:rPr>
          <w:rFonts w:ascii="Tinos" w:hAnsi="Tinos" w:cs="Tinos"/>
          <w:highlight w:val="none"/>
        </w:rPr>
      </w:r>
      <w:r>
        <w:rPr>
          <w:rFonts w:ascii="Tinos" w:hAnsi="Tinos" w:cs="Tinos"/>
          <w:highlight w:val="none"/>
        </w:rPr>
      </w:r>
    </w:p>
    <w:p>
      <w:pPr>
        <w:ind w:right="0" w:firstLine="0"/>
        <w:jc w:val="center"/>
        <w:spacing w:before="0" w:beforeAutospacing="0" w:after="0" w:afterAutospacing="0" w:line="240" w:lineRule="auto"/>
        <w:rPr>
          <w:rFonts w:ascii="Tinos" w:hAnsi="Tinos" w:eastAsia="Tinos" w:cs="Tinos"/>
          <w:highlight w:val="none"/>
        </w:rPr>
      </w:pPr>
      <w:r>
        <w:rPr>
          <w:rFonts w:ascii="Tinos" w:hAnsi="Tinos" w:eastAsia="Tinos" w:cs="Tinos"/>
          <w:highlight w:val="none"/>
          <w:lang w:val="ru-RU" w:eastAsia="ru-RU"/>
        </w:rPr>
      </w:r>
      <w:r>
        <w:rPr>
          <w:rFonts w:ascii="Tinos" w:hAnsi="Tinos" w:eastAsia="Tinos" w:cs="Tinos"/>
          <w:highlight w:val="none"/>
          <w:lang w:val="ru-RU"/>
        </w:rPr>
        <w:t xml:space="preserve"> </w:t>
      </w:r>
      <w:r>
        <w:rPr>
          <w:highlight w:val="none"/>
        </w:rPr>
        <mc:AlternateContent>
          <mc:Choice Requires="wpg">
            <w:drawing>
              <wp:inline xmlns:wp="http://schemas.openxmlformats.org/drawingml/2006/wordprocessingDrawing" distT="0" distB="0" distL="0" distR="0">
                <wp:extent cx="8686535" cy="6410064"/>
                <wp:effectExtent l="0" t="0" r="0" b="0"/>
                <wp:docPr id="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18643" name=""/>
                        <pic:cNvPicPr>
                          <a:picLocks noChangeAspect="1"/>
                        </pic:cNvPicPr>
                        <pic:nvPr/>
                      </pic:nvPicPr>
                      <pic:blipFill>
                        <a:blip r:embed="rId16"/>
                        <a:stretch/>
                      </pic:blipFill>
                      <pic:spPr bwMode="auto">
                        <a:xfrm flipH="0" flipV="0">
                          <a:off x="0" y="0"/>
                          <a:ext cx="8686535" cy="641006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683.98pt;height:504.73pt;mso-wrap-distance-left:0.00pt;mso-wrap-distance-top:0.00pt;mso-wrap-distance-right:0.00pt;mso-wrap-distance-bottom:0.00pt;" stroked="false">
                <v:path textboxrect="0,0,0,0"/>
                <v:imagedata r:id="rId16" o:title=""/>
              </v:shape>
            </w:pict>
          </mc:Fallback>
        </mc:AlternateContent>
      </w:r>
      <w:r>
        <w:rPr>
          <w:rFonts w:ascii="Tinos" w:hAnsi="Tinos" w:cs="Tinos"/>
          <w:highlight w:val="none"/>
        </w:rPr>
      </w:r>
      <w:r>
        <w:rPr>
          <w:rFonts w:ascii="Tinos" w:hAnsi="Tinos" w:eastAsia="Tinos" w:cs="Tinos"/>
          <w:highlight w:val="none"/>
        </w:rPr>
      </w:r>
    </w:p>
    <w:p>
      <w:pPr>
        <w:shd w:val="nil" w:color="auto"/>
        <w:rPr>
          <w:rFonts w:ascii="Tinos" w:hAnsi="Tinos" w:cs="Tinos"/>
          <w:highlight w:val="none"/>
        </w:rPr>
      </w:pPr>
      <w:r>
        <w:rPr>
          <w:rFonts w:ascii="Tinos" w:hAnsi="Tinos" w:eastAsia="Tinos" w:cs="Tinos"/>
          <w:highlight w:val="none"/>
          <w:lang w:val="ru-RU"/>
        </w:rPr>
      </w:r>
      <w:r>
        <w:rPr>
          <w:highlight w:val="none"/>
        </w:rPr>
        <mc:AlternateContent>
          <mc:Choice Requires="wpg">
            <w:drawing>
              <wp:inline xmlns:wp="http://schemas.openxmlformats.org/drawingml/2006/wordprocessingDrawing" distT="0" distB="0" distL="0" distR="0">
                <wp:extent cx="8928905" cy="6480175"/>
                <wp:effectExtent l="0" t="0" r="0" b="0"/>
                <wp:docPr id="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178945" name=""/>
                        <pic:cNvPicPr>
                          <a:picLocks noChangeAspect="1"/>
                        </pic:cNvPicPr>
                        <pic:nvPr/>
                      </pic:nvPicPr>
                      <pic:blipFill>
                        <a:blip r:embed="rId17"/>
                        <a:stretch/>
                      </pic:blipFill>
                      <pic:spPr bwMode="auto">
                        <a:xfrm>
                          <a:off x="0" y="0"/>
                          <a:ext cx="8928904" cy="64801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703.06pt;height:510.25pt;mso-wrap-distance-left:0.00pt;mso-wrap-distance-top:0.00pt;mso-wrap-distance-right:0.00pt;mso-wrap-distance-bottom:0.00pt;" stroked="false">
                <v:path textboxrect="0,0,0,0"/>
                <v:imagedata r:id="rId17" o:title=""/>
              </v:shape>
            </w:pict>
          </mc:Fallback>
        </mc:AlternateContent>
      </w:r>
      <w:r>
        <w:rPr>
          <w:rFonts w:ascii="Tinos" w:hAnsi="Tinos" w:eastAsia="Tinos" w:cs="Tinos"/>
          <w:highlight w:val="none"/>
          <w:lang w:val="ru-RU"/>
        </w:rPr>
        <w:br w:type="page" w:clear="all"/>
      </w:r>
      <w:r>
        <w:rPr>
          <w:rFonts w:ascii="Tinos" w:hAnsi="Tinos" w:eastAsia="Tinos" w:cs="Tinos"/>
          <w:highlight w:val="none"/>
          <w:lang w:val="ru-RU"/>
        </w:rPr>
      </w:r>
      <w:r>
        <w:rPr>
          <w:rFonts w:ascii="Tinos" w:hAnsi="Tinos" w:cs="Tinos"/>
          <w:highlight w:val="none"/>
        </w:rPr>
      </w:r>
    </w:p>
    <w:p>
      <w:pPr>
        <w:ind w:right="0" w:firstLine="0"/>
        <w:jc w:val="center"/>
        <w:spacing w:before="0" w:beforeAutospacing="0" w:after="0" w:afterAutospacing="0" w:line="240" w:lineRule="auto"/>
        <w:rPr>
          <w:rFonts w:ascii="Tinos" w:hAnsi="Tinos" w:eastAsia="Tinos" w:cs="Tinos"/>
          <w:highlight w:val="none"/>
        </w:rPr>
      </w:pPr>
      <w:r>
        <w:rPr>
          <w:rFonts w:ascii="Tinos" w:hAnsi="Tinos" w:eastAsia="Tinos" w:cs="Tinos"/>
          <w:highlight w:val="none"/>
          <w:lang w:val="ru-RU"/>
        </w:rPr>
      </w:r>
      <w:r>
        <w:rPr>
          <w:highlight w:val="none"/>
        </w:rPr>
        <mc:AlternateContent>
          <mc:Choice Requires="wpg">
            <w:drawing>
              <wp:inline xmlns:wp="http://schemas.openxmlformats.org/drawingml/2006/wordprocessingDrawing" distT="0" distB="0" distL="0" distR="0">
                <wp:extent cx="8703189" cy="6349405"/>
                <wp:effectExtent l="0" t="0" r="0" b="0"/>
                <wp:docPr id="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359661" name=""/>
                        <pic:cNvPicPr>
                          <a:picLocks noChangeAspect="1"/>
                        </pic:cNvPicPr>
                        <pic:nvPr/>
                      </pic:nvPicPr>
                      <pic:blipFill>
                        <a:blip r:embed="rId18"/>
                        <a:stretch/>
                      </pic:blipFill>
                      <pic:spPr bwMode="auto">
                        <a:xfrm flipH="0" flipV="0">
                          <a:off x="0" y="0"/>
                          <a:ext cx="8703189" cy="634940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width:685.29pt;height:499.95pt;mso-wrap-distance-left:0.00pt;mso-wrap-distance-top:0.00pt;mso-wrap-distance-right:0.00pt;mso-wrap-distance-bottom:0.00pt;" stroked="false">
                <v:path textboxrect="0,0,0,0"/>
                <v:imagedata r:id="rId18" o:title=""/>
              </v:shape>
            </w:pict>
          </mc:Fallback>
        </mc:AlternateContent>
      </w:r>
      <w:r>
        <w:rPr>
          <w:rFonts w:ascii="Tinos" w:hAnsi="Tinos" w:eastAsia="Tinos" w:cs="Tinos"/>
          <w:highlight w:val="none"/>
          <w:lang w:val="ru-RU"/>
        </w:rPr>
      </w:r>
      <w:r>
        <w:rPr>
          <w:rFonts w:ascii="Tinos" w:hAnsi="Tinos" w:eastAsia="Tinos" w:cs="Tinos"/>
          <w:highlight w:val="none"/>
        </w:rPr>
      </w:r>
    </w:p>
    <w:p>
      <w:pPr>
        <w:shd w:val="nil" w:color="auto"/>
        <w:rPr>
          <w:rFonts w:ascii="Tinos" w:hAnsi="Tinos" w:eastAsia="Tinos" w:cs="Tinos"/>
          <w:highlight w:val="none"/>
          <w:lang w:val="ru-RU"/>
        </w:rPr>
      </w:pPr>
      <w:r>
        <w:rPr>
          <w:rFonts w:ascii="Tinos" w:hAnsi="Tinos" w:eastAsia="Tinos" w:cs="Tinos"/>
          <w:highlight w:val="none"/>
          <w:lang w:val="ru-RU"/>
        </w:rPr>
      </w:r>
      <w:r>
        <mc:AlternateContent>
          <mc:Choice Requires="wpg">
            <w:drawing>
              <wp:inline xmlns:wp="http://schemas.openxmlformats.org/drawingml/2006/wordprocessingDrawing" distT="0" distB="0" distL="0" distR="0">
                <wp:extent cx="8961459" cy="6480175"/>
                <wp:effectExtent l="0" t="0" r="0" b="0"/>
                <wp:docPr id="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77370" name=""/>
                        <pic:cNvPicPr>
                          <a:picLocks noChangeAspect="1"/>
                        </pic:cNvPicPr>
                        <pic:nvPr/>
                      </pic:nvPicPr>
                      <pic:blipFill>
                        <a:blip r:embed="rId19"/>
                        <a:stretch/>
                      </pic:blipFill>
                      <pic:spPr bwMode="auto">
                        <a:xfrm>
                          <a:off x="0" y="0"/>
                          <a:ext cx="8961459" cy="6480174"/>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width:705.63pt;height:510.25pt;mso-wrap-distance-left:0.00pt;mso-wrap-distance-top:0.00pt;mso-wrap-distance-right:0.00pt;mso-wrap-distance-bottom:0.00pt;" stroked="false">
                <v:path textboxrect="0,0,0,0"/>
                <v:imagedata r:id="rId19" o:title=""/>
              </v:shape>
            </w:pict>
          </mc:Fallback>
        </mc:AlternateContent>
      </w:r>
      <w:r>
        <w:rPr>
          <w:rFonts w:ascii="Tinos" w:hAnsi="Tinos" w:eastAsia="Tinos" w:cs="Tinos"/>
          <w:highlight w:val="none"/>
          <w:lang w:val="ru-RU"/>
        </w:rPr>
      </w:r>
      <w:r>
        <w:rPr>
          <w:rFonts w:ascii="Tinos" w:hAnsi="Tinos" w:eastAsia="Tinos" w:cs="Tinos"/>
          <w:highlight w:val="none"/>
          <w:lang w:val="ru-RU"/>
        </w:rPr>
      </w:r>
    </w:p>
    <w:sectPr>
      <w:footnotePr/>
      <w:endnotePr/>
      <w:type w:val="nextPage"/>
      <w:pgSz w:w="16838" w:h="11906" w:orient="landscape"/>
      <w:pgMar w:top="1134" w:right="1134" w:bottom="567" w:left="1134" w:header="720" w:footer="720" w:gutter="0"/>
      <w:cols w:num="1" w:sep="0" w:space="720" w:equalWidth="1"/>
      <w:docGrid w:linePitch="36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after="0" w:line="240" w:lineRule="auto"/>
      </w:pPr>
      <w:r>
        <w:separator/>
      </w:r>
      <w:r/>
    </w:p>
  </w:endnote>
  <w:endnote w:type="continuationSeparator" w:id="0">
    <w:p>
      <w:pPr>
        <w:spacing w:after="0"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nos">
    <w:panose1 w:val="02020603050405020304"/>
  </w:font>
  <w:font w:name="Wingdings">
    <w:panose1 w:val="05010000000000000000"/>
  </w:font>
  <w:font w:name="Courier New">
    <w:panose1 w:val="02070409020205020404"/>
  </w:font>
  <w:font w:name="Symbol">
    <w:panose1 w:val="05010000000000000000"/>
  </w:font>
  <w:font w:name="Tahoma">
    <w:panose1 w:val="020B0604030504040204"/>
  </w:font>
  <w:font w:name="Arial">
    <w:panose1 w:val="020B0604020202020204"/>
  </w:font>
  <w:font w:name="Times New Roman">
    <w:panose1 w:val="02020603050405020304"/>
  </w:font>
  <w:font w:name="Calibri">
    <w:panose1 w:val="020F05020202040302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ind w:left="708" w:right="0" w:firstLine="0"/>
      <w:jc w:val="left"/>
      <w:spacing w:after="0" w:line="259" w:lineRule="auto"/>
    </w:pPr>
    <w:fldSimple w:instr="PAGE \* MERGEFORMAT">
      <w:r>
        <w:t xml:space="preserve">1</w:t>
      </w:r>
    </w:fldSimple>
    <w:r/>
    <w:r>
      <w:t xml:space="preserve"> </w:t>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ind w:right="0" w:firstLine="0"/>
      <w:jc w:val="left"/>
      <w:spacing w:after="160" w:line="259" w:lineRule="auto"/>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ind w:right="514" w:firstLine="428"/>
        <w:spacing w:after="0" w:line="273" w:lineRule="auto"/>
      </w:pPr>
      <w:r>
        <w:separator/>
      </w:r>
      <w:r/>
    </w:p>
  </w:footnote>
  <w:footnote w:type="continuationSeparator" w:id="0">
    <w:p>
      <w:pPr>
        <w:ind w:right="514" w:firstLine="428"/>
        <w:spacing w:after="0" w:line="273" w:lineRule="auto"/>
      </w:pPr>
      <w:r>
        <w:continuationSeparator/>
      </w:r>
      <w:r/>
    </w:p>
  </w:footnote>
  <w:footnote w:id="2">
    <w:p>
      <w:pPr>
        <w:pStyle w:val="996"/>
      </w:pPr>
      <w:r>
        <w:rPr>
          <w:rStyle w:val="1000"/>
        </w:rPr>
        <w:footnoteRef/>
      </w:r>
      <w:r>
        <w:t xml:space="preserve"> Настоящая инструкция содержит в себе только особенности по подготовке и проведению КЕГЭ. Основная (полная) инструкция представлена в приложении 4 к настоящему приказу.</w:t>
      </w:r>
      <w:r/>
    </w:p>
  </w:footnote>
  <w:footnote w:id="3">
    <w:p>
      <w:pPr>
        <w:pStyle w:val="996"/>
      </w:pPr>
      <w:r>
        <w:rPr>
          <w:rStyle w:val="1000"/>
        </w:rPr>
        <w:footnoteRef/>
      </w:r>
      <w:r>
        <w:t xml:space="preserve"> </w:t>
      </w:r>
      <w:r>
        <w:rPr>
          <w:sz w:val="22"/>
          <w:szCs w:val="22"/>
        </w:rPr>
        <w:t xml:space="preserve">Экзамены начинаются в 10 часов 00 минут</w:t>
      </w:r>
      <w:r>
        <w:rPr>
          <w:sz w:val="22"/>
          <w:szCs w:val="22"/>
        </w:rPr>
        <w:t xml:space="preserve"> </w:t>
      </w:r>
      <w:r>
        <w:t xml:space="preserve"> </w:t>
      </w:r>
      <w:r/>
    </w:p>
  </w:footnote>
  <w:footnote w:id="4">
    <w:p>
      <w:pPr>
        <w:pStyle w:val="996"/>
        <w:jc w:val="both"/>
        <w:rPr>
          <w:sz w:val="22"/>
          <w:szCs w:val="22"/>
        </w:rPr>
      </w:pPr>
      <w:r>
        <w:rPr>
          <w:rStyle w:val="1000"/>
          <w:sz w:val="22"/>
          <w:szCs w:val="22"/>
        </w:rPr>
        <w:footnoteRef/>
      </w:r>
      <w:r>
        <w:rPr>
          <w:sz w:val="22"/>
          <w:szCs w:val="22"/>
        </w:rPr>
        <w:t xml:space="preserve"> Настоящая инструкция содержит в себе только особенности по подготовке и проведению КЕГЭ. Основная (полная) инструкция представлена в  приложении 3 к настоящему приказу.</w:t>
      </w:r>
      <w:r>
        <w:rPr>
          <w:sz w:val="22"/>
          <w:szCs w:val="22"/>
        </w:rPr>
      </w:r>
      <w:r>
        <w:rPr>
          <w:sz w:val="22"/>
          <w:szCs w:val="22"/>
        </w:rPr>
      </w:r>
    </w:p>
  </w:footnote>
  <w:footnote w:id="5">
    <w:p>
      <w:pPr>
        <w:pStyle w:val="996"/>
        <w:jc w:val="both"/>
      </w:pPr>
      <w:r>
        <w:rPr>
          <w:rStyle w:val="1000"/>
        </w:rPr>
        <w:footnoteRef/>
      </w:r>
      <w:r>
        <w:t xml:space="preserve"> </w:t>
      </w:r>
      <w:r>
        <w:rPr>
          <w:sz w:val="22"/>
          <w:szCs w:val="22"/>
        </w:rPr>
        <w:t xml:space="preserve">Настоящая инструкция содержит в себе только особенности по подготовке и проведению КЕГЭ. Основная (полная) инструкция представлена в </w:t>
      </w:r>
      <w:r>
        <w:rPr>
          <w:sz w:val="22"/>
          <w:szCs w:val="22"/>
        </w:rPr>
        <w:t xml:space="preserve">приложении 2 к настоящему приказу.</w:t>
      </w:r>
      <w:r/>
    </w:p>
  </w:footnote>
  <w:footnote w:id="6">
    <w:p>
      <w:pPr>
        <w:pStyle w:val="996"/>
        <w:ind w:firstLine="709"/>
        <w:jc w:val="both"/>
      </w:pPr>
      <w:r>
        <w:rPr>
          <w:rStyle w:val="1000"/>
        </w:rPr>
        <w:footnoteRef/>
      </w:r>
      <w:r>
        <w:t xml:space="preserve"> Информация о </w:t>
      </w:r>
      <w:r>
        <w:t xml:space="preserve">количестве таких участников экзаменов в ППЭ и о необходимости организации проведения экзаменов в условиях, учитывающих состояние их здоровья, особенности психофизического развития, направляется в ППЭ не позднее двух рабочих дней до дня проведения экзамена.</w:t>
      </w:r>
      <w:r/>
    </w:p>
  </w:footnote>
  <w:footnote w:id="7">
    <w:p>
      <w:pPr>
        <w:pStyle w:val="996"/>
      </w:pPr>
      <w:r>
        <w:rPr>
          <w:rStyle w:val="1000"/>
        </w:rPr>
        <w:footnoteRef/>
      </w:r>
      <w:r>
        <w:t xml:space="preserve"> Настоящая инструкция содержит в себе только особенности по подготовке и проведению КЕГЭ. Основная (полная) инструкция представлена в  приложении 5 к настоящему приказу.</w:t>
      </w:r>
      <w:r/>
    </w:p>
  </w:footnote>
  <w:footnote w:id="8">
    <w:p>
      <w:pPr>
        <w:pStyle w:val="996"/>
        <w:jc w:val="both"/>
      </w:pPr>
      <w:r>
        <w:rPr>
          <w:rStyle w:val="1000"/>
        </w:rPr>
        <w:footnoteRef/>
      </w:r>
      <w:r>
        <w:t xml:space="preserve"> </w:t>
      </w:r>
      <w:r>
        <w:rPr>
          <w:sz w:val="22"/>
          <w:szCs w:val="22"/>
        </w:rPr>
        <w:t xml:space="preserve">В случае если участник экзамена явился в ППЭ, но </w:t>
      </w:r>
      <w:r>
        <w:rPr>
          <w:sz w:val="22"/>
          <w:szCs w:val="22"/>
        </w:rPr>
        <w:t xml:space="preserve">был</w:t>
      </w:r>
      <w:r>
        <w:rPr>
          <w:sz w:val="22"/>
          <w:szCs w:val="22"/>
        </w:rPr>
        <w:t xml:space="preserve"> удалён из ППЭ или не завершил экзамен по объективным причинам до начала печати бланков регистрации, бланк регистрации на него всё равно распечатывается для надлежащего оформления факта удаления из ППЭ или не завершения экзамена по объективным причинам.</w:t>
      </w:r>
      <w:r>
        <w:t xml:space="preserve">  </w:t>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2344" w:hanging="360"/>
      </w:pPr>
      <w:rPr>
        <w:rFonts w:hint="default"/>
      </w:rPr>
    </w:lvl>
    <w:lvl w:ilvl="1">
      <w:start w:val="1"/>
      <w:numFmt w:val="decimal"/>
      <w:isLgl/>
      <w:suff w:val="tab"/>
      <w:lvlText w:val="%1.%2."/>
      <w:lvlJc w:val="left"/>
      <w:pPr>
        <w:ind w:left="1571" w:hanging="720"/>
      </w:pPr>
      <w:rPr>
        <w:rFonts w:hint="default"/>
      </w:rPr>
    </w:lvl>
    <w:lvl w:ilvl="2">
      <w:start w:val="1"/>
      <w:numFmt w:val="decimal"/>
      <w:isLgl/>
      <w:suff w:val="tab"/>
      <w:lvlText w:val="%1.%2.%3."/>
      <w:lvlJc w:val="left"/>
      <w:pPr>
        <w:ind w:left="5540" w:hanging="720"/>
      </w:pPr>
      <w:rPr>
        <w:rFonts w:hint="default"/>
      </w:rPr>
    </w:lvl>
    <w:lvl w:ilvl="3">
      <w:start w:val="1"/>
      <w:numFmt w:val="decimal"/>
      <w:isLgl/>
      <w:suff w:val="tab"/>
      <w:lvlText w:val="%1.%2.%3.%4."/>
      <w:lvlJc w:val="left"/>
      <w:pPr>
        <w:ind w:left="2409" w:hanging="1080"/>
      </w:pPr>
      <w:rPr>
        <w:rFonts w:hint="default"/>
      </w:rPr>
    </w:lvl>
    <w:lvl w:ilvl="4">
      <w:start w:val="1"/>
      <w:numFmt w:val="decimal"/>
      <w:isLgl/>
      <w:suff w:val="tab"/>
      <w:lvlText w:val="%1.%2.%3.%4.%5."/>
      <w:lvlJc w:val="left"/>
      <w:pPr>
        <w:ind w:left="2732" w:hanging="1080"/>
      </w:pPr>
      <w:rPr>
        <w:rFonts w:hint="default"/>
      </w:rPr>
    </w:lvl>
    <w:lvl w:ilvl="5">
      <w:start w:val="1"/>
      <w:numFmt w:val="decimal"/>
      <w:isLgl/>
      <w:suff w:val="tab"/>
      <w:lvlText w:val="%1.%2.%3.%4.%5.%6."/>
      <w:lvlJc w:val="left"/>
      <w:pPr>
        <w:ind w:left="3415" w:hanging="1440"/>
      </w:pPr>
      <w:rPr>
        <w:rFonts w:hint="default"/>
      </w:rPr>
    </w:lvl>
    <w:lvl w:ilvl="6">
      <w:start w:val="1"/>
      <w:numFmt w:val="decimal"/>
      <w:isLgl/>
      <w:suff w:val="tab"/>
      <w:lvlText w:val="%1.%2.%3.%4.%5.%6.%7."/>
      <w:lvlJc w:val="left"/>
      <w:pPr>
        <w:ind w:left="4098" w:hanging="1800"/>
      </w:pPr>
      <w:rPr>
        <w:rFonts w:hint="default"/>
      </w:rPr>
    </w:lvl>
    <w:lvl w:ilvl="7">
      <w:start w:val="1"/>
      <w:numFmt w:val="decimal"/>
      <w:isLgl/>
      <w:suff w:val="tab"/>
      <w:lvlText w:val="%1.%2.%3.%4.%5.%6.%7.%8."/>
      <w:lvlJc w:val="left"/>
      <w:pPr>
        <w:ind w:left="4421" w:hanging="1800"/>
      </w:pPr>
      <w:rPr>
        <w:rFonts w:hint="default"/>
      </w:rPr>
    </w:lvl>
    <w:lvl w:ilvl="8">
      <w:start w:val="1"/>
      <w:numFmt w:val="decimal"/>
      <w:isLgl/>
      <w:suff w:val="tab"/>
      <w:lvlText w:val="%1.%2.%3.%4.%5.%6.%7.%8.%9."/>
      <w:lvlJc w:val="left"/>
      <w:pPr>
        <w:ind w:left="5104" w:hanging="2160"/>
      </w:pPr>
      <w:rPr>
        <w:rFonts w:hint="default"/>
      </w:rPr>
    </w:lvl>
  </w:abstractNum>
  <w:abstractNum w:abstractNumId="1">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2">
    <w:multiLevelType w:val="hybridMultilevel"/>
    <w:lvl w:ilvl="0">
      <w:start w:val="4"/>
      <w:numFmt w:val="decimal"/>
      <w:isLgl w:val="false"/>
      <w:suff w:val="tab"/>
      <w:lvlText w:val="%1."/>
      <w:lvlJc w:val="left"/>
      <w:pPr>
        <w:ind w:left="450" w:hanging="450"/>
      </w:pPr>
      <w:rPr>
        <w:rFonts w:hint="default"/>
      </w:rPr>
    </w:lvl>
    <w:lvl w:ilvl="1">
      <w:start w:val="1"/>
      <w:numFmt w:val="decimal"/>
      <w:isLgl w:val="false"/>
      <w:suff w:val="tab"/>
      <w:lvlText w:val="%1.%2."/>
      <w:lvlJc w:val="left"/>
      <w:pPr>
        <w:ind w:left="720" w:hanging="720"/>
      </w:pPr>
      <w:rPr>
        <w:rFonts w:hint="default"/>
      </w:rPr>
    </w:lvl>
    <w:lvl w:ilvl="2">
      <w:start w:val="1"/>
      <w:numFmt w:val="decimal"/>
      <w:isLgl w:val="false"/>
      <w:suff w:val="tab"/>
      <w:lvlText w:val="%1.%2.%3."/>
      <w:lvlJc w:val="left"/>
      <w:pPr>
        <w:ind w:left="2705" w:hanging="720"/>
      </w:pPr>
      <w:rPr>
        <w:rFonts w:hint="default"/>
      </w:rPr>
    </w:lvl>
    <w:lvl w:ilvl="3">
      <w:start w:val="1"/>
      <w:numFmt w:val="decimal"/>
      <w:isLgl w:val="false"/>
      <w:suff w:val="tab"/>
      <w:lvlText w:val="%1.%2.%3.%4."/>
      <w:lvlJc w:val="left"/>
      <w:pPr>
        <w:ind w:left="1080" w:hanging="1080"/>
      </w:pPr>
      <w:rPr>
        <w:rFonts w:hint="default"/>
      </w:rPr>
    </w:lvl>
    <w:lvl w:ilvl="4">
      <w:start w:val="1"/>
      <w:numFmt w:val="decimal"/>
      <w:isLgl w:val="false"/>
      <w:suff w:val="tab"/>
      <w:lvlText w:val="%1.%2.%3.%4.%5."/>
      <w:lvlJc w:val="left"/>
      <w:pPr>
        <w:ind w:left="1080" w:hanging="1080"/>
      </w:pPr>
      <w:rPr>
        <w:rFonts w:hint="default"/>
      </w:rPr>
    </w:lvl>
    <w:lvl w:ilvl="5">
      <w:start w:val="1"/>
      <w:numFmt w:val="decimal"/>
      <w:isLgl w:val="false"/>
      <w:suff w:val="tab"/>
      <w:lvlText w:val="%1.%2.%3.%4.%5.%6."/>
      <w:lvlJc w:val="left"/>
      <w:pPr>
        <w:ind w:left="1440" w:hanging="1440"/>
      </w:pPr>
      <w:rPr>
        <w:rFonts w:hint="default"/>
      </w:rPr>
    </w:lvl>
    <w:lvl w:ilvl="6">
      <w:start w:val="1"/>
      <w:numFmt w:val="decimal"/>
      <w:isLgl w:val="false"/>
      <w:suff w:val="tab"/>
      <w:lvlText w:val="%1.%2.%3.%4.%5.%6.%7."/>
      <w:lvlJc w:val="left"/>
      <w:pPr>
        <w:ind w:left="1800" w:hanging="1800"/>
      </w:pPr>
      <w:rPr>
        <w:rFonts w:hint="default"/>
      </w:rPr>
    </w:lvl>
    <w:lvl w:ilvl="7">
      <w:start w:val="1"/>
      <w:numFmt w:val="decimal"/>
      <w:isLgl w:val="false"/>
      <w:suff w:val="tab"/>
      <w:lvlText w:val="%1.%2.%3.%4.%5.%6.%7.%8."/>
      <w:lvlJc w:val="left"/>
      <w:pPr>
        <w:ind w:left="1800" w:hanging="1800"/>
      </w:pPr>
      <w:rPr>
        <w:rFonts w:hint="default"/>
      </w:rPr>
    </w:lvl>
    <w:lvl w:ilvl="8">
      <w:start w:val="1"/>
      <w:numFmt w:val="decimal"/>
      <w:isLgl w:val="false"/>
      <w:suff w:val="tab"/>
      <w:lvlText w:val="%1.%2.%3.%4.%5.%6.%7.%8.%9."/>
      <w:lvlJc w:val="left"/>
      <w:pPr>
        <w:ind w:left="2160" w:hanging="2160"/>
      </w:pPr>
      <w:rPr>
        <w:rFonts w:hint="default"/>
      </w:rPr>
    </w:lvl>
  </w:abstractNum>
  <w:abstractNum w:abstractNumId="3">
    <w:multiLevelType w:val="hybridMultilevel"/>
    <w:lvl w:ilvl="0">
      <w:start w:val="1"/>
      <w:numFmt w:val="decimal"/>
      <w:isLgl w:val="false"/>
      <w:suff w:val="tab"/>
      <w:lvlText w:val="%1."/>
      <w:lvlJc w:val="left"/>
      <w:pPr>
        <w:ind w:left="360" w:hanging="360"/>
      </w:pPr>
      <w:rPr>
        <w:highlight w:val="none"/>
      </w:rPr>
    </w:lvl>
    <w:lvl w:ilvl="1">
      <w:start w:val="1"/>
      <w:numFmt w:val="lowerLetter"/>
      <w:isLgl w:val="false"/>
      <w:suff w:val="tab"/>
      <w:lvlText w:val="%2."/>
      <w:lvlJc w:val="left"/>
      <w:pPr>
        <w:ind w:left="1080" w:hanging="360"/>
      </w:pPr>
    </w:lvl>
    <w:lvl w:ilvl="2">
      <w:start w:val="1"/>
      <w:numFmt w:val="lowerRoman"/>
      <w:isLgl w:val="false"/>
      <w:suff w:val="tab"/>
      <w:lvlText w:val="%3."/>
      <w:lvlJc w:val="right"/>
      <w:pPr>
        <w:ind w:left="1800" w:hanging="180"/>
      </w:pPr>
    </w:lvl>
    <w:lvl w:ilvl="3">
      <w:start w:val="1"/>
      <w:numFmt w:val="decimal"/>
      <w:isLgl w:val="false"/>
      <w:suff w:val="tab"/>
      <w:lvlText w:val="%4."/>
      <w:lvlJc w:val="left"/>
      <w:pPr>
        <w:ind w:left="2520" w:hanging="360"/>
      </w:pPr>
    </w:lvl>
    <w:lvl w:ilvl="4">
      <w:start w:val="1"/>
      <w:numFmt w:val="lowerLetter"/>
      <w:isLgl w:val="false"/>
      <w:suff w:val="tab"/>
      <w:lvlText w:val="%5."/>
      <w:lvlJc w:val="left"/>
      <w:pPr>
        <w:ind w:left="3240" w:hanging="360"/>
      </w:pPr>
    </w:lvl>
    <w:lvl w:ilvl="5">
      <w:start w:val="1"/>
      <w:numFmt w:val="lowerRoman"/>
      <w:isLgl w:val="false"/>
      <w:suff w:val="tab"/>
      <w:lvlText w:val="%6."/>
      <w:lvlJc w:val="right"/>
      <w:pPr>
        <w:ind w:left="3960" w:hanging="180"/>
      </w:pPr>
    </w:lvl>
    <w:lvl w:ilvl="6">
      <w:start w:val="1"/>
      <w:numFmt w:val="decimal"/>
      <w:isLgl w:val="false"/>
      <w:suff w:val="tab"/>
      <w:lvlText w:val="%7."/>
      <w:lvlJc w:val="left"/>
      <w:pPr>
        <w:ind w:left="4680" w:hanging="360"/>
      </w:pPr>
    </w:lvl>
    <w:lvl w:ilvl="7">
      <w:start w:val="1"/>
      <w:numFmt w:val="lowerLetter"/>
      <w:isLgl w:val="false"/>
      <w:suff w:val="tab"/>
      <w:lvlText w:val="%8."/>
      <w:lvlJc w:val="left"/>
      <w:pPr>
        <w:ind w:left="5400" w:hanging="360"/>
      </w:pPr>
    </w:lvl>
    <w:lvl w:ilvl="8">
      <w:start w:val="1"/>
      <w:numFmt w:val="lowerRoman"/>
      <w:isLgl w:val="false"/>
      <w:suff w:val="tab"/>
      <w:lvlText w:val="%9."/>
      <w:lvlJc w:val="right"/>
      <w:pPr>
        <w:ind w:left="6120" w:hanging="180"/>
      </w:pPr>
    </w:lvl>
  </w:abstractNum>
  <w:abstractNum w:abstractNumId="4">
    <w:multiLevelType w:val="hybridMultilevel"/>
    <w:lvl w:ilvl="0">
      <w:start w:val="1"/>
      <w:numFmt w:val="decimal"/>
      <w:isLgl w:val="false"/>
      <w:suff w:val="tab"/>
      <w:lvlText w:val="%1."/>
      <w:lvlJc w:val="left"/>
      <w:pPr>
        <w:ind w:left="2344" w:hanging="360"/>
      </w:pPr>
      <w:rPr>
        <w:rFonts w:hint="default"/>
      </w:rPr>
    </w:lvl>
    <w:lvl w:ilvl="1">
      <w:start w:val="1"/>
      <w:numFmt w:val="decimal"/>
      <w:isLgl/>
      <w:suff w:val="tab"/>
      <w:lvlText w:val="%1.%2."/>
      <w:lvlJc w:val="left"/>
      <w:pPr>
        <w:ind w:left="1571" w:hanging="720"/>
      </w:pPr>
      <w:rPr>
        <w:rFonts w:hint="default"/>
      </w:rPr>
    </w:lvl>
    <w:lvl w:ilvl="2">
      <w:start w:val="1"/>
      <w:numFmt w:val="decimal"/>
      <w:isLgl/>
      <w:suff w:val="tab"/>
      <w:lvlText w:val="%1.%2.%3."/>
      <w:lvlJc w:val="left"/>
      <w:pPr>
        <w:ind w:left="1855" w:hanging="720"/>
      </w:pPr>
      <w:rPr>
        <w:rFonts w:hint="default"/>
      </w:rPr>
    </w:lvl>
    <w:lvl w:ilvl="3">
      <w:start w:val="1"/>
      <w:numFmt w:val="decimal"/>
      <w:isLgl/>
      <w:suff w:val="tab"/>
      <w:lvlText w:val="%1.%2.%3.%4."/>
      <w:lvlJc w:val="left"/>
      <w:pPr>
        <w:ind w:left="2409" w:hanging="1080"/>
      </w:pPr>
      <w:rPr>
        <w:rFonts w:hint="default"/>
      </w:rPr>
    </w:lvl>
    <w:lvl w:ilvl="4">
      <w:start w:val="1"/>
      <w:numFmt w:val="decimal"/>
      <w:isLgl/>
      <w:suff w:val="tab"/>
      <w:lvlText w:val="%1.%2.%3.%4.%5."/>
      <w:lvlJc w:val="left"/>
      <w:pPr>
        <w:ind w:left="2732" w:hanging="1080"/>
      </w:pPr>
      <w:rPr>
        <w:rFonts w:hint="default"/>
      </w:rPr>
    </w:lvl>
    <w:lvl w:ilvl="5">
      <w:start w:val="1"/>
      <w:numFmt w:val="decimal"/>
      <w:isLgl/>
      <w:suff w:val="tab"/>
      <w:lvlText w:val="%1.%2.%3.%4.%5.%6."/>
      <w:lvlJc w:val="left"/>
      <w:pPr>
        <w:ind w:left="3415" w:hanging="1440"/>
      </w:pPr>
      <w:rPr>
        <w:rFonts w:hint="default"/>
      </w:rPr>
    </w:lvl>
    <w:lvl w:ilvl="6">
      <w:start w:val="1"/>
      <w:numFmt w:val="decimal"/>
      <w:isLgl/>
      <w:suff w:val="tab"/>
      <w:lvlText w:val="%1.%2.%3.%4.%5.%6.%7."/>
      <w:lvlJc w:val="left"/>
      <w:pPr>
        <w:ind w:left="4098" w:hanging="1800"/>
      </w:pPr>
      <w:rPr>
        <w:rFonts w:hint="default"/>
      </w:rPr>
    </w:lvl>
    <w:lvl w:ilvl="7">
      <w:start w:val="1"/>
      <w:numFmt w:val="decimal"/>
      <w:isLgl/>
      <w:suff w:val="tab"/>
      <w:lvlText w:val="%1.%2.%3.%4.%5.%6.%7.%8."/>
      <w:lvlJc w:val="left"/>
      <w:pPr>
        <w:ind w:left="4421" w:hanging="1800"/>
      </w:pPr>
      <w:rPr>
        <w:rFonts w:hint="default"/>
      </w:rPr>
    </w:lvl>
    <w:lvl w:ilvl="8">
      <w:start w:val="1"/>
      <w:numFmt w:val="decimal"/>
      <w:isLgl/>
      <w:suff w:val="tab"/>
      <w:lvlText w:val="%1.%2.%3.%4.%5.%6.%7.%8.%9."/>
      <w:lvlJc w:val="left"/>
      <w:pPr>
        <w:ind w:left="5104" w:hanging="2160"/>
      </w:pPr>
      <w:rPr>
        <w:rFonts w:hint="default"/>
      </w:rPr>
    </w:lvl>
  </w:abstractNum>
  <w:abstractNum w:abstractNumId="5">
    <w:multiLevelType w:val="hybridMultilevel"/>
    <w:lvl w:ilvl="0">
      <w:start w:val="4"/>
      <w:numFmt w:val="decimal"/>
      <w:isLgl w:val="false"/>
      <w:suff w:val="tab"/>
      <w:lvlText w:val="%1."/>
      <w:lvlJc w:val="left"/>
      <w:pPr>
        <w:ind w:left="450" w:hanging="450"/>
      </w:pPr>
      <w:rPr>
        <w:rFonts w:hint="default"/>
      </w:rPr>
    </w:lvl>
    <w:lvl w:ilvl="1">
      <w:start w:val="1"/>
      <w:numFmt w:val="decimal"/>
      <w:isLgl w:val="false"/>
      <w:suff w:val="tab"/>
      <w:lvlText w:val="%1.%2."/>
      <w:lvlJc w:val="left"/>
      <w:pPr>
        <w:ind w:left="720" w:hanging="720"/>
      </w:pPr>
      <w:rPr>
        <w:rFonts w:hint="default"/>
      </w:rPr>
    </w:lvl>
    <w:lvl w:ilvl="2">
      <w:start w:val="1"/>
      <w:numFmt w:val="decimal"/>
      <w:isLgl w:val="false"/>
      <w:suff w:val="tab"/>
      <w:lvlText w:val="%1.%2.%3."/>
      <w:lvlJc w:val="left"/>
      <w:pPr>
        <w:ind w:left="1713" w:hanging="720"/>
      </w:pPr>
      <w:rPr>
        <w:rFonts w:hint="default"/>
      </w:rPr>
    </w:lvl>
    <w:lvl w:ilvl="3">
      <w:start w:val="1"/>
      <w:numFmt w:val="decimal"/>
      <w:isLgl w:val="false"/>
      <w:suff w:val="tab"/>
      <w:lvlText w:val="%1.%2.%3.%4."/>
      <w:lvlJc w:val="left"/>
      <w:pPr>
        <w:ind w:left="1080" w:hanging="1080"/>
      </w:pPr>
      <w:rPr>
        <w:rFonts w:hint="default"/>
      </w:rPr>
    </w:lvl>
    <w:lvl w:ilvl="4">
      <w:start w:val="1"/>
      <w:numFmt w:val="decimal"/>
      <w:isLgl w:val="false"/>
      <w:suff w:val="tab"/>
      <w:lvlText w:val="%1.%2.%3.%4.%5."/>
      <w:lvlJc w:val="left"/>
      <w:pPr>
        <w:ind w:left="1080" w:hanging="1080"/>
      </w:pPr>
      <w:rPr>
        <w:rFonts w:hint="default"/>
      </w:rPr>
    </w:lvl>
    <w:lvl w:ilvl="5">
      <w:start w:val="1"/>
      <w:numFmt w:val="decimal"/>
      <w:isLgl w:val="false"/>
      <w:suff w:val="tab"/>
      <w:lvlText w:val="%1.%2.%3.%4.%5.%6."/>
      <w:lvlJc w:val="left"/>
      <w:pPr>
        <w:ind w:left="1440" w:hanging="1440"/>
      </w:pPr>
      <w:rPr>
        <w:rFonts w:hint="default"/>
      </w:rPr>
    </w:lvl>
    <w:lvl w:ilvl="6">
      <w:start w:val="1"/>
      <w:numFmt w:val="decimal"/>
      <w:isLgl w:val="false"/>
      <w:suff w:val="tab"/>
      <w:lvlText w:val="%1.%2.%3.%4.%5.%6.%7."/>
      <w:lvlJc w:val="left"/>
      <w:pPr>
        <w:ind w:left="1800" w:hanging="1800"/>
      </w:pPr>
      <w:rPr>
        <w:rFonts w:hint="default"/>
      </w:rPr>
    </w:lvl>
    <w:lvl w:ilvl="7">
      <w:start w:val="1"/>
      <w:numFmt w:val="decimal"/>
      <w:isLgl w:val="false"/>
      <w:suff w:val="tab"/>
      <w:lvlText w:val="%1.%2.%3.%4.%5.%6.%7.%8."/>
      <w:lvlJc w:val="left"/>
      <w:pPr>
        <w:ind w:left="1800" w:hanging="1800"/>
      </w:pPr>
      <w:rPr>
        <w:rFonts w:hint="default"/>
      </w:rPr>
    </w:lvl>
    <w:lvl w:ilvl="8">
      <w:start w:val="1"/>
      <w:numFmt w:val="decimal"/>
      <w:isLgl w:val="false"/>
      <w:suff w:val="tab"/>
      <w:lvlText w:val="%1.%2.%3.%4.%5.%6.%7.%8.%9."/>
      <w:lvlJc w:val="left"/>
      <w:pPr>
        <w:ind w:left="2160" w:hanging="2160"/>
      </w:pPr>
      <w:rPr>
        <w:rFonts w:hint="default"/>
      </w:rPr>
    </w:lvl>
  </w:abstractNum>
  <w:abstractNum w:abstractNumId="6">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7">
    <w:multiLevelType w:val="hybridMultilevel"/>
    <w:lvl w:ilvl="0">
      <w:start w:val="1"/>
      <w:numFmt w:val="bullet"/>
      <w:isLgl w:val="false"/>
      <w:suff w:val="tab"/>
      <w:lvlText w:val="–"/>
      <w:lvlJc w:val="left"/>
      <w:pPr>
        <w:ind w:left="709" w:hanging="360"/>
      </w:pPr>
      <w:rPr>
        <w:rFonts w:hint="default" w:ascii="Arial" w:hAnsi="Arial" w:eastAsia="Arial" w:cs="Arial"/>
      </w:rPr>
    </w:lvl>
    <w:lvl w:ilvl="1">
      <w:start w:val="1"/>
      <w:numFmt w:val="bullet"/>
      <w:isLgl w:val="false"/>
      <w:suff w:val="tab"/>
      <w:lvlText w:val="o"/>
      <w:lvlJc w:val="left"/>
      <w:pPr>
        <w:ind w:left="1429" w:hanging="360"/>
      </w:pPr>
      <w:rPr>
        <w:rFonts w:hint="default" w:ascii="Courier New" w:hAnsi="Courier New" w:eastAsia="Courier New" w:cs="Courier New"/>
      </w:rPr>
    </w:lvl>
    <w:lvl w:ilvl="2">
      <w:start w:val="1"/>
      <w:numFmt w:val="bullet"/>
      <w:isLgl w:val="false"/>
      <w:suff w:val="tab"/>
      <w:lvlText w:val="§"/>
      <w:lvlJc w:val="left"/>
      <w:pPr>
        <w:ind w:left="2149" w:hanging="360"/>
      </w:pPr>
      <w:rPr>
        <w:rFonts w:hint="default" w:ascii="Wingdings" w:hAnsi="Wingdings" w:eastAsia="Wingdings" w:cs="Wingdings"/>
      </w:rPr>
    </w:lvl>
    <w:lvl w:ilvl="3">
      <w:start w:val="1"/>
      <w:numFmt w:val="bullet"/>
      <w:isLgl w:val="false"/>
      <w:suff w:val="tab"/>
      <w:lvlText w:val="·"/>
      <w:lvlJc w:val="left"/>
      <w:pPr>
        <w:ind w:left="2869" w:hanging="360"/>
      </w:pPr>
      <w:rPr>
        <w:rFonts w:hint="default" w:ascii="Symbol" w:hAnsi="Symbol" w:eastAsia="Symbol" w:cs="Symbol"/>
      </w:rPr>
    </w:lvl>
    <w:lvl w:ilvl="4">
      <w:start w:val="1"/>
      <w:numFmt w:val="bullet"/>
      <w:isLgl w:val="false"/>
      <w:suff w:val="tab"/>
      <w:lvlText w:val="o"/>
      <w:lvlJc w:val="left"/>
      <w:pPr>
        <w:ind w:left="3589" w:hanging="360"/>
      </w:pPr>
      <w:rPr>
        <w:rFonts w:hint="default" w:ascii="Courier New" w:hAnsi="Courier New" w:eastAsia="Courier New" w:cs="Courier New"/>
      </w:rPr>
    </w:lvl>
    <w:lvl w:ilvl="5">
      <w:start w:val="1"/>
      <w:numFmt w:val="bullet"/>
      <w:isLgl w:val="false"/>
      <w:suff w:val="tab"/>
      <w:lvlText w:val="§"/>
      <w:lvlJc w:val="left"/>
      <w:pPr>
        <w:ind w:left="4309" w:hanging="360"/>
      </w:pPr>
      <w:rPr>
        <w:rFonts w:hint="default" w:ascii="Wingdings" w:hAnsi="Wingdings" w:eastAsia="Wingdings" w:cs="Wingdings"/>
      </w:rPr>
    </w:lvl>
    <w:lvl w:ilvl="6">
      <w:start w:val="1"/>
      <w:numFmt w:val="bullet"/>
      <w:isLgl w:val="false"/>
      <w:suff w:val="tab"/>
      <w:lvlText w:val="·"/>
      <w:lvlJc w:val="left"/>
      <w:pPr>
        <w:ind w:left="5029" w:hanging="360"/>
      </w:pPr>
      <w:rPr>
        <w:rFonts w:hint="default" w:ascii="Symbol" w:hAnsi="Symbol" w:eastAsia="Symbol" w:cs="Symbol"/>
      </w:rPr>
    </w:lvl>
    <w:lvl w:ilvl="7">
      <w:start w:val="1"/>
      <w:numFmt w:val="bullet"/>
      <w:isLgl w:val="false"/>
      <w:suff w:val="tab"/>
      <w:lvlText w:val="o"/>
      <w:lvlJc w:val="left"/>
      <w:pPr>
        <w:ind w:left="5749" w:hanging="360"/>
      </w:pPr>
      <w:rPr>
        <w:rFonts w:hint="default" w:ascii="Courier New" w:hAnsi="Courier New" w:eastAsia="Courier New" w:cs="Courier New"/>
      </w:rPr>
    </w:lvl>
    <w:lvl w:ilvl="8">
      <w:start w:val="1"/>
      <w:numFmt w:val="bullet"/>
      <w:isLgl w:val="false"/>
      <w:suff w:val="tab"/>
      <w:lvlText w:val="§"/>
      <w:lvlJc w:val="left"/>
      <w:pPr>
        <w:ind w:left="6469" w:hanging="360"/>
      </w:pPr>
      <w:rPr>
        <w:rFonts w:hint="default" w:ascii="Wingdings" w:hAnsi="Wingdings" w:eastAsia="Wingdings" w:cs="Wingdings"/>
      </w:rPr>
    </w:lvl>
  </w:abstractNum>
  <w:abstractNum w:abstractNumId="8">
    <w:multiLevelType w:val="hybridMultilevel"/>
    <w:lvl w:ilvl="0">
      <w:start w:val="3"/>
      <w:numFmt w:val="decimal"/>
      <w:isLgl w:val="false"/>
      <w:suff w:val="tab"/>
      <w:lvlText w:val="%1"/>
      <w:lvlJc w:val="left"/>
      <w:pPr>
        <w:ind w:left="750" w:hanging="750"/>
      </w:pPr>
      <w:rPr>
        <w:rFonts w:hint="default"/>
      </w:rPr>
    </w:lvl>
    <w:lvl w:ilvl="1">
      <w:start w:val="11"/>
      <w:numFmt w:val="decimal"/>
      <w:isLgl w:val="false"/>
      <w:suff w:val="tab"/>
      <w:lvlText w:val="%1.%2"/>
      <w:lvlJc w:val="left"/>
      <w:pPr>
        <w:ind w:left="1097" w:hanging="750"/>
      </w:pPr>
      <w:rPr>
        <w:rFonts w:hint="default"/>
      </w:rPr>
    </w:lvl>
    <w:lvl w:ilvl="2">
      <w:start w:val="1"/>
      <w:numFmt w:val="decimal"/>
      <w:isLgl w:val="false"/>
      <w:suff w:val="tab"/>
      <w:lvlText w:val="%1.%2.%3"/>
      <w:lvlJc w:val="left"/>
      <w:pPr>
        <w:ind w:left="1444" w:hanging="750"/>
      </w:pPr>
      <w:rPr>
        <w:rFonts w:hint="default"/>
      </w:rPr>
    </w:lvl>
    <w:lvl w:ilvl="3">
      <w:start w:val="1"/>
      <w:numFmt w:val="decimal"/>
      <w:isLgl w:val="false"/>
      <w:suff w:val="tab"/>
      <w:lvlText w:val="%1.%2.%3.%4"/>
      <w:lvlJc w:val="left"/>
      <w:pPr>
        <w:ind w:left="2121" w:hanging="1080"/>
      </w:pPr>
      <w:rPr>
        <w:rFonts w:hint="default"/>
      </w:rPr>
    </w:lvl>
    <w:lvl w:ilvl="4">
      <w:start w:val="1"/>
      <w:numFmt w:val="decimal"/>
      <w:isLgl w:val="false"/>
      <w:suff w:val="tab"/>
      <w:lvlText w:val="%1.%2.%3.%4.%5"/>
      <w:lvlJc w:val="left"/>
      <w:pPr>
        <w:ind w:left="2468" w:hanging="1080"/>
      </w:pPr>
      <w:rPr>
        <w:rFonts w:hint="default"/>
      </w:rPr>
    </w:lvl>
    <w:lvl w:ilvl="5">
      <w:start w:val="1"/>
      <w:numFmt w:val="decimal"/>
      <w:isLgl w:val="false"/>
      <w:suff w:val="tab"/>
      <w:lvlText w:val="%1.%2.%3.%4.%5.%6"/>
      <w:lvlJc w:val="left"/>
      <w:pPr>
        <w:ind w:left="3175" w:hanging="1440"/>
      </w:pPr>
      <w:rPr>
        <w:rFonts w:hint="default"/>
      </w:rPr>
    </w:lvl>
    <w:lvl w:ilvl="6">
      <w:start w:val="1"/>
      <w:numFmt w:val="decimal"/>
      <w:isLgl w:val="false"/>
      <w:suff w:val="tab"/>
      <w:lvlText w:val="%1.%2.%3.%4.%5.%6.%7"/>
      <w:lvlJc w:val="left"/>
      <w:pPr>
        <w:ind w:left="3522" w:hanging="1440"/>
      </w:pPr>
      <w:rPr>
        <w:rFonts w:hint="default"/>
      </w:rPr>
    </w:lvl>
    <w:lvl w:ilvl="7">
      <w:start w:val="1"/>
      <w:numFmt w:val="decimal"/>
      <w:isLgl w:val="false"/>
      <w:suff w:val="tab"/>
      <w:lvlText w:val="%1.%2.%3.%4.%5.%6.%7.%8"/>
      <w:lvlJc w:val="left"/>
      <w:pPr>
        <w:ind w:left="4229" w:hanging="1800"/>
      </w:pPr>
      <w:rPr>
        <w:rFonts w:hint="default"/>
      </w:rPr>
    </w:lvl>
    <w:lvl w:ilvl="8">
      <w:start w:val="1"/>
      <w:numFmt w:val="decimal"/>
      <w:isLgl w:val="false"/>
      <w:suff w:val="tab"/>
      <w:lvlText w:val="%1.%2.%3.%4.%5.%6.%7.%8.%9"/>
      <w:lvlJc w:val="left"/>
      <w:pPr>
        <w:ind w:left="4936" w:hanging="2160"/>
      </w:pPr>
      <w:rPr>
        <w:rFonts w:hint="default"/>
      </w:rPr>
    </w:lvl>
  </w:abstractNum>
  <w:abstractNum w:abstractNumId="9">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10">
    <w:multiLevelType w:val="hybridMultilevel"/>
    <w:lvl w:ilvl="0">
      <w:start w:val="1"/>
      <w:numFmt w:val="decimal"/>
      <w:isLgl w:val="false"/>
      <w:suff w:val="tab"/>
      <w:lvlText w:val="%1"/>
      <w:lvlJc w:val="left"/>
      <w:pPr>
        <w:ind w:left="360"/>
      </w:pPr>
      <w:rPr>
        <w:rFonts w:ascii="Times New Roman" w:hAnsi="Times New Roman" w:eastAsia="Times New Roman" w:cs="Times New Roman"/>
        <w:b w:val="0"/>
        <w:i w:val="0"/>
        <w:strike w:val="0"/>
        <w:color w:val="000000"/>
        <w:sz w:val="24"/>
        <w:szCs w:val="24"/>
        <w:u w:val="none"/>
        <w:shd w:val="clear" w:color="auto" w:fill="auto"/>
        <w:vertAlign w:val="baseline"/>
      </w:rPr>
    </w:lvl>
    <w:lvl w:ilvl="1">
      <w:start w:val="6"/>
      <w:numFmt w:val="decimal"/>
      <w:isLgl w:val="false"/>
      <w:suff w:val="tab"/>
      <w:lvlText w:val="%1.%2."/>
      <w:lvlJc w:val="left"/>
      <w:pPr>
        <w:ind w:left="1113"/>
      </w:pPr>
      <w:rPr>
        <w:rFonts w:ascii="Times New Roman" w:hAnsi="Times New Roman" w:eastAsia="Times New Roman" w:cs="Times New Roman"/>
        <w:b w:val="0"/>
        <w:i w:val="0"/>
        <w:strike w:val="0"/>
        <w:color w:val="000000"/>
        <w:sz w:val="24"/>
        <w:szCs w:val="24"/>
        <w:u w:val="none"/>
        <w:shd w:val="clear" w:color="auto" w:fill="auto"/>
        <w:vertAlign w:val="baseline"/>
      </w:rPr>
    </w:lvl>
    <w:lvl w:ilvl="2">
      <w:start w:val="1"/>
      <w:numFmt w:val="lowerRoman"/>
      <w:isLgl w:val="false"/>
      <w:suff w:val="tab"/>
      <w:lvlText w:val="%3"/>
      <w:lvlJc w:val="left"/>
      <w:pPr>
        <w:ind w:left="1788"/>
      </w:pPr>
      <w:rPr>
        <w:rFonts w:ascii="Times New Roman" w:hAnsi="Times New Roman" w:eastAsia="Times New Roman" w:cs="Times New Roman"/>
        <w:b w:val="0"/>
        <w:i w:val="0"/>
        <w:strike w:val="0"/>
        <w:color w:val="000000"/>
        <w:sz w:val="24"/>
        <w:szCs w:val="24"/>
        <w:u w:val="none"/>
        <w:shd w:val="clear" w:color="auto" w:fill="auto"/>
        <w:vertAlign w:val="baseline"/>
      </w:rPr>
    </w:lvl>
    <w:lvl w:ilvl="3">
      <w:start w:val="1"/>
      <w:numFmt w:val="decimal"/>
      <w:isLgl w:val="false"/>
      <w:suff w:val="tab"/>
      <w:lvlText w:val="%4"/>
      <w:lvlJc w:val="left"/>
      <w:pPr>
        <w:ind w:left="2508"/>
      </w:pPr>
      <w:rPr>
        <w:rFonts w:ascii="Times New Roman" w:hAnsi="Times New Roman" w:eastAsia="Times New Roman" w:cs="Times New Roman"/>
        <w:b w:val="0"/>
        <w:i w:val="0"/>
        <w:strike w:val="0"/>
        <w:color w:val="000000"/>
        <w:sz w:val="24"/>
        <w:szCs w:val="24"/>
        <w:u w:val="none"/>
        <w:shd w:val="clear" w:color="auto" w:fill="auto"/>
        <w:vertAlign w:val="baseline"/>
      </w:rPr>
    </w:lvl>
    <w:lvl w:ilvl="4">
      <w:start w:val="1"/>
      <w:numFmt w:val="lowerLetter"/>
      <w:isLgl w:val="false"/>
      <w:suff w:val="tab"/>
      <w:lvlText w:val="%5"/>
      <w:lvlJc w:val="left"/>
      <w:pPr>
        <w:ind w:left="3228"/>
      </w:pPr>
      <w:rPr>
        <w:rFonts w:ascii="Times New Roman" w:hAnsi="Times New Roman" w:eastAsia="Times New Roman" w:cs="Times New Roman"/>
        <w:b w:val="0"/>
        <w:i w:val="0"/>
        <w:strike w:val="0"/>
        <w:color w:val="000000"/>
        <w:sz w:val="24"/>
        <w:szCs w:val="24"/>
        <w:u w:val="none"/>
        <w:shd w:val="clear" w:color="auto" w:fill="auto"/>
        <w:vertAlign w:val="baseline"/>
      </w:rPr>
    </w:lvl>
    <w:lvl w:ilvl="5">
      <w:start w:val="1"/>
      <w:numFmt w:val="lowerRoman"/>
      <w:isLgl w:val="false"/>
      <w:suff w:val="tab"/>
      <w:lvlText w:val="%6"/>
      <w:lvlJc w:val="left"/>
      <w:pPr>
        <w:ind w:left="3948"/>
      </w:pPr>
      <w:rPr>
        <w:rFonts w:ascii="Times New Roman" w:hAnsi="Times New Roman" w:eastAsia="Times New Roman" w:cs="Times New Roman"/>
        <w:b w:val="0"/>
        <w:i w:val="0"/>
        <w:strike w:val="0"/>
        <w:color w:val="000000"/>
        <w:sz w:val="24"/>
        <w:szCs w:val="24"/>
        <w:u w:val="none"/>
        <w:shd w:val="clear" w:color="auto" w:fill="auto"/>
        <w:vertAlign w:val="baseline"/>
      </w:rPr>
    </w:lvl>
    <w:lvl w:ilvl="6">
      <w:start w:val="1"/>
      <w:numFmt w:val="decimal"/>
      <w:isLgl w:val="false"/>
      <w:suff w:val="tab"/>
      <w:lvlText w:val="%7"/>
      <w:lvlJc w:val="left"/>
      <w:pPr>
        <w:ind w:left="4668"/>
      </w:pPr>
      <w:rPr>
        <w:rFonts w:ascii="Times New Roman" w:hAnsi="Times New Roman" w:eastAsia="Times New Roman" w:cs="Times New Roman"/>
        <w:b w:val="0"/>
        <w:i w:val="0"/>
        <w:strike w:val="0"/>
        <w:color w:val="000000"/>
        <w:sz w:val="24"/>
        <w:szCs w:val="24"/>
        <w:u w:val="none"/>
        <w:shd w:val="clear" w:color="auto" w:fill="auto"/>
        <w:vertAlign w:val="baseline"/>
      </w:rPr>
    </w:lvl>
    <w:lvl w:ilvl="7">
      <w:start w:val="1"/>
      <w:numFmt w:val="lowerLetter"/>
      <w:isLgl w:val="false"/>
      <w:suff w:val="tab"/>
      <w:lvlText w:val="%8"/>
      <w:lvlJc w:val="left"/>
      <w:pPr>
        <w:ind w:left="5388"/>
      </w:pPr>
      <w:rPr>
        <w:rFonts w:ascii="Times New Roman" w:hAnsi="Times New Roman" w:eastAsia="Times New Roman" w:cs="Times New Roman"/>
        <w:b w:val="0"/>
        <w:i w:val="0"/>
        <w:strike w:val="0"/>
        <w:color w:val="000000"/>
        <w:sz w:val="24"/>
        <w:szCs w:val="24"/>
        <w:u w:val="none"/>
        <w:shd w:val="clear" w:color="auto" w:fill="auto"/>
        <w:vertAlign w:val="baseline"/>
      </w:rPr>
    </w:lvl>
    <w:lvl w:ilvl="8">
      <w:start w:val="1"/>
      <w:numFmt w:val="lowerRoman"/>
      <w:isLgl w:val="false"/>
      <w:suff w:val="tab"/>
      <w:lvlText w:val="%9"/>
      <w:lvlJc w:val="left"/>
      <w:pPr>
        <w:ind w:left="6108"/>
      </w:pPr>
      <w:rPr>
        <w:rFonts w:ascii="Times New Roman" w:hAnsi="Times New Roman" w:eastAsia="Times New Roman" w:cs="Times New Roman"/>
        <w:b w:val="0"/>
        <w:i w:val="0"/>
        <w:strike w:val="0"/>
        <w:color w:val="000000"/>
        <w:sz w:val="24"/>
        <w:szCs w:val="24"/>
        <w:u w:val="none"/>
        <w:shd w:val="clear" w:color="auto" w:fill="auto"/>
        <w:vertAlign w:val="baseline"/>
      </w:rPr>
    </w:lvl>
  </w:abstractNum>
  <w:abstractNum w:abstractNumId="11">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12">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abstractNum w:abstractNumId="13">
    <w:multiLevelType w:val="hybridMultilevel"/>
    <w:lvl w:ilvl="0">
      <w:start w:val="1"/>
      <w:numFmt w:val="bullet"/>
      <w:isLgl w:val="false"/>
      <w:suff w:val="tab"/>
      <w:lvlText w:val=""/>
      <w:lvlJc w:val="left"/>
      <w:pPr>
        <w:ind w:left="1418" w:hanging="360"/>
      </w:pPr>
      <w:rPr>
        <w:rFonts w:hint="default" w:ascii="Symbol" w:hAnsi="Symbol"/>
      </w:rPr>
    </w:lvl>
    <w:lvl w:ilvl="1">
      <w:start w:val="1"/>
      <w:numFmt w:val="bullet"/>
      <w:isLgl w:val="false"/>
      <w:suff w:val="tab"/>
      <w:lvlText w:val="o"/>
      <w:lvlJc w:val="left"/>
      <w:pPr>
        <w:ind w:left="2138" w:hanging="360"/>
      </w:pPr>
      <w:rPr>
        <w:rFonts w:hint="default" w:ascii="Courier New" w:hAnsi="Courier New" w:cs="Courier New"/>
      </w:rPr>
    </w:lvl>
    <w:lvl w:ilvl="2">
      <w:start w:val="1"/>
      <w:numFmt w:val="bullet"/>
      <w:isLgl w:val="false"/>
      <w:suff w:val="tab"/>
      <w:lvlText w:val=""/>
      <w:lvlJc w:val="left"/>
      <w:pPr>
        <w:ind w:left="2858" w:hanging="360"/>
      </w:pPr>
      <w:rPr>
        <w:rFonts w:hint="default" w:ascii="Wingdings" w:hAnsi="Wingdings"/>
      </w:rPr>
    </w:lvl>
    <w:lvl w:ilvl="3">
      <w:start w:val="1"/>
      <w:numFmt w:val="bullet"/>
      <w:isLgl w:val="false"/>
      <w:suff w:val="tab"/>
      <w:lvlText w:val=""/>
      <w:lvlJc w:val="left"/>
      <w:pPr>
        <w:ind w:left="3578" w:hanging="360"/>
      </w:pPr>
      <w:rPr>
        <w:rFonts w:hint="default" w:ascii="Symbol" w:hAnsi="Symbol"/>
      </w:rPr>
    </w:lvl>
    <w:lvl w:ilvl="4">
      <w:start w:val="1"/>
      <w:numFmt w:val="bullet"/>
      <w:isLgl w:val="false"/>
      <w:suff w:val="tab"/>
      <w:lvlText w:val="o"/>
      <w:lvlJc w:val="left"/>
      <w:pPr>
        <w:ind w:left="4298" w:hanging="360"/>
      </w:pPr>
      <w:rPr>
        <w:rFonts w:hint="default" w:ascii="Courier New" w:hAnsi="Courier New" w:cs="Courier New"/>
      </w:rPr>
    </w:lvl>
    <w:lvl w:ilvl="5">
      <w:start w:val="1"/>
      <w:numFmt w:val="bullet"/>
      <w:isLgl w:val="false"/>
      <w:suff w:val="tab"/>
      <w:lvlText w:val=""/>
      <w:lvlJc w:val="left"/>
      <w:pPr>
        <w:ind w:left="5018" w:hanging="360"/>
      </w:pPr>
      <w:rPr>
        <w:rFonts w:hint="default" w:ascii="Wingdings" w:hAnsi="Wingdings"/>
      </w:rPr>
    </w:lvl>
    <w:lvl w:ilvl="6">
      <w:start w:val="1"/>
      <w:numFmt w:val="bullet"/>
      <w:isLgl w:val="false"/>
      <w:suff w:val="tab"/>
      <w:lvlText w:val=""/>
      <w:lvlJc w:val="left"/>
      <w:pPr>
        <w:ind w:left="5738" w:hanging="360"/>
      </w:pPr>
      <w:rPr>
        <w:rFonts w:hint="default" w:ascii="Symbol" w:hAnsi="Symbol"/>
      </w:rPr>
    </w:lvl>
    <w:lvl w:ilvl="7">
      <w:start w:val="1"/>
      <w:numFmt w:val="bullet"/>
      <w:isLgl w:val="false"/>
      <w:suff w:val="tab"/>
      <w:lvlText w:val="o"/>
      <w:lvlJc w:val="left"/>
      <w:pPr>
        <w:ind w:left="6458" w:hanging="360"/>
      </w:pPr>
      <w:rPr>
        <w:rFonts w:hint="default" w:ascii="Courier New" w:hAnsi="Courier New" w:cs="Courier New"/>
      </w:rPr>
    </w:lvl>
    <w:lvl w:ilvl="8">
      <w:start w:val="1"/>
      <w:numFmt w:val="bullet"/>
      <w:isLgl w:val="false"/>
      <w:suff w:val="tab"/>
      <w:lvlText w:val=""/>
      <w:lvlJc w:val="left"/>
      <w:pPr>
        <w:ind w:left="7178" w:hanging="360"/>
      </w:pPr>
      <w:rPr>
        <w:rFonts w:hint="default" w:ascii="Wingdings" w:hAnsi="Wingdings"/>
      </w:rPr>
    </w:lvl>
  </w:abstractNum>
  <w:abstractNum w:abstractNumId="14">
    <w:multiLevelType w:val="hybridMultilevel"/>
    <w:lvl w:ilvl="0">
      <w:start w:val="1"/>
      <w:numFmt w:val="bullet"/>
      <w:isLgl w:val="false"/>
      <w:suff w:val="tab"/>
      <w:lvlText w:val="–"/>
      <w:lvlJc w:val="left"/>
      <w:pPr>
        <w:ind w:left="1392" w:hanging="360"/>
      </w:pPr>
      <w:rPr>
        <w:rFonts w:hint="default" w:ascii="Arial" w:hAnsi="Arial" w:eastAsia="Arial" w:cs="Arial"/>
      </w:rPr>
    </w:lvl>
    <w:lvl w:ilvl="1">
      <w:start w:val="1"/>
      <w:numFmt w:val="bullet"/>
      <w:isLgl w:val="false"/>
      <w:suff w:val="tab"/>
      <w:lvlText w:val="o"/>
      <w:lvlJc w:val="left"/>
      <w:pPr>
        <w:ind w:left="2112" w:hanging="360"/>
      </w:pPr>
      <w:rPr>
        <w:rFonts w:hint="default" w:ascii="Courier New" w:hAnsi="Courier New" w:eastAsia="Courier New" w:cs="Courier New"/>
      </w:rPr>
    </w:lvl>
    <w:lvl w:ilvl="2">
      <w:start w:val="1"/>
      <w:numFmt w:val="bullet"/>
      <w:isLgl w:val="false"/>
      <w:suff w:val="tab"/>
      <w:lvlText w:val="§"/>
      <w:lvlJc w:val="left"/>
      <w:pPr>
        <w:ind w:left="2832" w:hanging="360"/>
      </w:pPr>
      <w:rPr>
        <w:rFonts w:hint="default" w:ascii="Wingdings" w:hAnsi="Wingdings" w:eastAsia="Wingdings" w:cs="Wingdings"/>
      </w:rPr>
    </w:lvl>
    <w:lvl w:ilvl="3">
      <w:start w:val="1"/>
      <w:numFmt w:val="bullet"/>
      <w:isLgl w:val="false"/>
      <w:suff w:val="tab"/>
      <w:lvlText w:val="·"/>
      <w:lvlJc w:val="left"/>
      <w:pPr>
        <w:ind w:left="3552" w:hanging="360"/>
      </w:pPr>
      <w:rPr>
        <w:rFonts w:hint="default" w:ascii="Symbol" w:hAnsi="Symbol" w:eastAsia="Symbol" w:cs="Symbol"/>
      </w:rPr>
    </w:lvl>
    <w:lvl w:ilvl="4">
      <w:start w:val="1"/>
      <w:numFmt w:val="bullet"/>
      <w:isLgl w:val="false"/>
      <w:suff w:val="tab"/>
      <w:lvlText w:val="o"/>
      <w:lvlJc w:val="left"/>
      <w:pPr>
        <w:ind w:left="4272" w:hanging="360"/>
      </w:pPr>
      <w:rPr>
        <w:rFonts w:hint="default" w:ascii="Courier New" w:hAnsi="Courier New" w:eastAsia="Courier New" w:cs="Courier New"/>
      </w:rPr>
    </w:lvl>
    <w:lvl w:ilvl="5">
      <w:start w:val="1"/>
      <w:numFmt w:val="bullet"/>
      <w:isLgl w:val="false"/>
      <w:suff w:val="tab"/>
      <w:lvlText w:val="§"/>
      <w:lvlJc w:val="left"/>
      <w:pPr>
        <w:ind w:left="4992" w:hanging="360"/>
      </w:pPr>
      <w:rPr>
        <w:rFonts w:hint="default" w:ascii="Wingdings" w:hAnsi="Wingdings" w:eastAsia="Wingdings" w:cs="Wingdings"/>
      </w:rPr>
    </w:lvl>
    <w:lvl w:ilvl="6">
      <w:start w:val="1"/>
      <w:numFmt w:val="bullet"/>
      <w:isLgl w:val="false"/>
      <w:suff w:val="tab"/>
      <w:lvlText w:val="·"/>
      <w:lvlJc w:val="left"/>
      <w:pPr>
        <w:ind w:left="5712" w:hanging="360"/>
      </w:pPr>
      <w:rPr>
        <w:rFonts w:hint="default" w:ascii="Symbol" w:hAnsi="Symbol" w:eastAsia="Symbol" w:cs="Symbol"/>
      </w:rPr>
    </w:lvl>
    <w:lvl w:ilvl="7">
      <w:start w:val="1"/>
      <w:numFmt w:val="bullet"/>
      <w:isLgl w:val="false"/>
      <w:suff w:val="tab"/>
      <w:lvlText w:val="o"/>
      <w:lvlJc w:val="left"/>
      <w:pPr>
        <w:ind w:left="6432" w:hanging="360"/>
      </w:pPr>
      <w:rPr>
        <w:rFonts w:hint="default" w:ascii="Courier New" w:hAnsi="Courier New" w:eastAsia="Courier New" w:cs="Courier New"/>
      </w:rPr>
    </w:lvl>
    <w:lvl w:ilvl="8">
      <w:start w:val="1"/>
      <w:numFmt w:val="bullet"/>
      <w:isLgl w:val="false"/>
      <w:suff w:val="tab"/>
      <w:lvlText w:val="§"/>
      <w:lvlJc w:val="left"/>
      <w:pPr>
        <w:ind w:left="7152" w:hanging="360"/>
      </w:pPr>
      <w:rPr>
        <w:rFonts w:hint="default" w:ascii="Wingdings" w:hAnsi="Wingdings" w:eastAsia="Wingdings" w:cs="Wingdings"/>
      </w:rPr>
    </w:lvl>
  </w:abstractNum>
  <w:abstractNum w:abstractNumId="15">
    <w:multiLevelType w:val="hybridMultilevel"/>
    <w:lvl w:ilvl="0">
      <w:start w:val="1"/>
      <w:numFmt w:val="bullet"/>
      <w:isLgl w:val="false"/>
      <w:suff w:val="tab"/>
      <w:lvlText w:val=""/>
      <w:lvlJc w:val="left"/>
      <w:pPr>
        <w:ind w:left="1070" w:hanging="360"/>
      </w:pPr>
      <w:rPr>
        <w:rFonts w:hint="default" w:ascii="Symbol" w:hAnsi="Symbol"/>
      </w:rPr>
    </w:lvl>
    <w:lvl w:ilvl="1">
      <w:start w:val="1"/>
      <w:numFmt w:val="bullet"/>
      <w:isLgl w:val="false"/>
      <w:suff w:val="tab"/>
      <w:lvlText w:val="o"/>
      <w:lvlJc w:val="left"/>
      <w:pPr>
        <w:ind w:left="2149" w:hanging="360"/>
      </w:pPr>
      <w:rPr>
        <w:rFonts w:hint="default" w:ascii="Courier New" w:hAnsi="Courier New" w:cs="Courier New"/>
      </w:rPr>
    </w:lvl>
    <w:lvl w:ilvl="2">
      <w:start w:val="1"/>
      <w:numFmt w:val="bullet"/>
      <w:isLgl w:val="false"/>
      <w:suff w:val="tab"/>
      <w:lvlText w:val=""/>
      <w:lvlJc w:val="left"/>
      <w:pPr>
        <w:ind w:left="2869" w:hanging="360"/>
      </w:pPr>
      <w:rPr>
        <w:rFonts w:hint="default" w:ascii="Wingdings" w:hAnsi="Wingdings"/>
      </w:rPr>
    </w:lvl>
    <w:lvl w:ilvl="3">
      <w:start w:val="1"/>
      <w:numFmt w:val="bullet"/>
      <w:isLgl w:val="false"/>
      <w:suff w:val="tab"/>
      <w:lvlText w:val=""/>
      <w:lvlJc w:val="left"/>
      <w:pPr>
        <w:ind w:left="3589" w:hanging="360"/>
      </w:pPr>
      <w:rPr>
        <w:rFonts w:hint="default" w:ascii="Symbol" w:hAnsi="Symbol"/>
      </w:rPr>
    </w:lvl>
    <w:lvl w:ilvl="4">
      <w:start w:val="1"/>
      <w:numFmt w:val="bullet"/>
      <w:isLgl w:val="false"/>
      <w:suff w:val="tab"/>
      <w:lvlText w:val="o"/>
      <w:lvlJc w:val="left"/>
      <w:pPr>
        <w:ind w:left="4309" w:hanging="360"/>
      </w:pPr>
      <w:rPr>
        <w:rFonts w:hint="default" w:ascii="Courier New" w:hAnsi="Courier New" w:cs="Courier New"/>
      </w:rPr>
    </w:lvl>
    <w:lvl w:ilvl="5">
      <w:start w:val="1"/>
      <w:numFmt w:val="bullet"/>
      <w:isLgl w:val="false"/>
      <w:suff w:val="tab"/>
      <w:lvlText w:val=""/>
      <w:lvlJc w:val="left"/>
      <w:pPr>
        <w:ind w:left="5029" w:hanging="360"/>
      </w:pPr>
      <w:rPr>
        <w:rFonts w:hint="default" w:ascii="Wingdings" w:hAnsi="Wingdings"/>
      </w:rPr>
    </w:lvl>
    <w:lvl w:ilvl="6">
      <w:start w:val="1"/>
      <w:numFmt w:val="bullet"/>
      <w:isLgl w:val="false"/>
      <w:suff w:val="tab"/>
      <w:lvlText w:val=""/>
      <w:lvlJc w:val="left"/>
      <w:pPr>
        <w:ind w:left="5749" w:hanging="360"/>
      </w:pPr>
      <w:rPr>
        <w:rFonts w:hint="default" w:ascii="Symbol" w:hAnsi="Symbol"/>
      </w:rPr>
    </w:lvl>
    <w:lvl w:ilvl="7">
      <w:start w:val="1"/>
      <w:numFmt w:val="bullet"/>
      <w:isLgl w:val="false"/>
      <w:suff w:val="tab"/>
      <w:lvlText w:val="o"/>
      <w:lvlJc w:val="left"/>
      <w:pPr>
        <w:ind w:left="6469" w:hanging="360"/>
      </w:pPr>
      <w:rPr>
        <w:rFonts w:hint="default" w:ascii="Courier New" w:hAnsi="Courier New" w:cs="Courier New"/>
      </w:rPr>
    </w:lvl>
    <w:lvl w:ilvl="8">
      <w:start w:val="1"/>
      <w:numFmt w:val="bullet"/>
      <w:isLgl w:val="false"/>
      <w:suff w:val="tab"/>
      <w:lvlText w:val=""/>
      <w:lvlJc w:val="left"/>
      <w:pPr>
        <w:ind w:left="7189" w:hanging="360"/>
      </w:pPr>
      <w:rPr>
        <w:rFonts w:hint="default" w:ascii="Wingdings" w:hAnsi="Wingdings"/>
      </w:rPr>
    </w:lvl>
  </w:abstractNum>
  <w:abstractNum w:abstractNumId="16">
    <w:multiLevelType w:val="hybridMultilevel"/>
    <w:lvl w:ilvl="0">
      <w:start w:val="1"/>
      <w:numFmt w:val="bullet"/>
      <w:isLgl w:val="false"/>
      <w:suff w:val="tab"/>
      <w:lvlText w:val=""/>
      <w:lvlJc w:val="left"/>
      <w:pPr>
        <w:ind w:left="1211" w:hanging="360"/>
      </w:pPr>
      <w:rPr>
        <w:rFonts w:hint="default" w:ascii="Symbol" w:hAnsi="Symbol"/>
      </w:rPr>
    </w:lvl>
    <w:lvl w:ilvl="1">
      <w:start w:val="1"/>
      <w:numFmt w:val="bullet"/>
      <w:isLgl w:val="false"/>
      <w:suff w:val="tab"/>
      <w:lvlText w:val="o"/>
      <w:lvlJc w:val="left"/>
      <w:pPr>
        <w:ind w:left="2123" w:hanging="360"/>
      </w:pPr>
      <w:rPr>
        <w:rFonts w:hint="default" w:ascii="Courier New" w:hAnsi="Courier New" w:cs="Courier New"/>
      </w:rPr>
    </w:lvl>
    <w:lvl w:ilvl="2">
      <w:start w:val="1"/>
      <w:numFmt w:val="bullet"/>
      <w:isLgl w:val="false"/>
      <w:suff w:val="tab"/>
      <w:lvlText w:val=""/>
      <w:lvlJc w:val="left"/>
      <w:pPr>
        <w:ind w:left="2843" w:hanging="360"/>
      </w:pPr>
      <w:rPr>
        <w:rFonts w:hint="default" w:ascii="Wingdings" w:hAnsi="Wingdings"/>
      </w:rPr>
    </w:lvl>
    <w:lvl w:ilvl="3">
      <w:start w:val="1"/>
      <w:numFmt w:val="bullet"/>
      <w:isLgl w:val="false"/>
      <w:suff w:val="tab"/>
      <w:lvlText w:val=""/>
      <w:lvlJc w:val="left"/>
      <w:pPr>
        <w:ind w:left="3563" w:hanging="360"/>
      </w:pPr>
      <w:rPr>
        <w:rFonts w:hint="default" w:ascii="Symbol" w:hAnsi="Symbol"/>
      </w:rPr>
    </w:lvl>
    <w:lvl w:ilvl="4">
      <w:start w:val="1"/>
      <w:numFmt w:val="bullet"/>
      <w:isLgl w:val="false"/>
      <w:suff w:val="tab"/>
      <w:lvlText w:val="o"/>
      <w:lvlJc w:val="left"/>
      <w:pPr>
        <w:ind w:left="4283" w:hanging="360"/>
      </w:pPr>
      <w:rPr>
        <w:rFonts w:hint="default" w:ascii="Courier New" w:hAnsi="Courier New" w:cs="Courier New"/>
      </w:rPr>
    </w:lvl>
    <w:lvl w:ilvl="5">
      <w:start w:val="1"/>
      <w:numFmt w:val="bullet"/>
      <w:isLgl w:val="false"/>
      <w:suff w:val="tab"/>
      <w:lvlText w:val=""/>
      <w:lvlJc w:val="left"/>
      <w:pPr>
        <w:ind w:left="5003" w:hanging="360"/>
      </w:pPr>
      <w:rPr>
        <w:rFonts w:hint="default" w:ascii="Wingdings" w:hAnsi="Wingdings"/>
      </w:rPr>
    </w:lvl>
    <w:lvl w:ilvl="6">
      <w:start w:val="1"/>
      <w:numFmt w:val="bullet"/>
      <w:isLgl w:val="false"/>
      <w:suff w:val="tab"/>
      <w:lvlText w:val=""/>
      <w:lvlJc w:val="left"/>
      <w:pPr>
        <w:ind w:left="5723" w:hanging="360"/>
      </w:pPr>
      <w:rPr>
        <w:rFonts w:hint="default" w:ascii="Symbol" w:hAnsi="Symbol"/>
      </w:rPr>
    </w:lvl>
    <w:lvl w:ilvl="7">
      <w:start w:val="1"/>
      <w:numFmt w:val="bullet"/>
      <w:isLgl w:val="false"/>
      <w:suff w:val="tab"/>
      <w:lvlText w:val="o"/>
      <w:lvlJc w:val="left"/>
      <w:pPr>
        <w:ind w:left="6443" w:hanging="360"/>
      </w:pPr>
      <w:rPr>
        <w:rFonts w:hint="default" w:ascii="Courier New" w:hAnsi="Courier New" w:cs="Courier New"/>
      </w:rPr>
    </w:lvl>
    <w:lvl w:ilvl="8">
      <w:start w:val="1"/>
      <w:numFmt w:val="bullet"/>
      <w:isLgl w:val="false"/>
      <w:suff w:val="tab"/>
      <w:lvlText w:val=""/>
      <w:lvlJc w:val="left"/>
      <w:pPr>
        <w:ind w:left="7163" w:hanging="360"/>
      </w:pPr>
      <w:rPr>
        <w:rFonts w:hint="default" w:ascii="Wingdings" w:hAnsi="Wingdings"/>
      </w:rPr>
    </w:lvl>
  </w:abstractNum>
  <w:abstractNum w:abstractNumId="17">
    <w:multiLevelType w:val="hybridMultilevel"/>
    <w:lvl w:ilvl="0">
      <w:start w:val="1"/>
      <w:numFmt w:val="bullet"/>
      <w:isLgl w:val="false"/>
      <w:suff w:val="tab"/>
      <w:lvlText w:val=""/>
      <w:lvlJc w:val="left"/>
      <w:pPr>
        <w:ind w:left="720" w:hanging="360"/>
      </w:pPr>
      <w:rPr>
        <w:rFonts w:hint="default" w:ascii="Symbol" w:hAnsi="Symbol"/>
      </w:rPr>
    </w:lvl>
    <w:lvl w:ilvl="1">
      <w:start w:val="1"/>
      <w:numFmt w:val="bullet"/>
      <w:isLgl w:val="false"/>
      <w:suff w:val="tab"/>
      <w:lvlText w:val="o"/>
      <w:lvlJc w:val="left"/>
      <w:pPr>
        <w:ind w:left="1440" w:hanging="360"/>
      </w:pPr>
      <w:rPr>
        <w:rFonts w:hint="default" w:ascii="Courier New" w:hAnsi="Courier New" w:cs="Courier New"/>
      </w:rPr>
    </w:lvl>
    <w:lvl w:ilvl="2">
      <w:start w:val="1"/>
      <w:numFmt w:val="bullet"/>
      <w:isLgl w:val="false"/>
      <w:suff w:val="tab"/>
      <w:lvlText w:val=""/>
      <w:lvlJc w:val="left"/>
      <w:pPr>
        <w:ind w:left="2160" w:hanging="360"/>
      </w:pPr>
      <w:rPr>
        <w:rFonts w:hint="default" w:ascii="Wingdings" w:hAnsi="Wingdings"/>
      </w:rPr>
    </w:lvl>
    <w:lvl w:ilvl="3">
      <w:start w:val="1"/>
      <w:numFmt w:val="bullet"/>
      <w:isLgl w:val="false"/>
      <w:suff w:val="tab"/>
      <w:lvlText w:val=""/>
      <w:lvlJc w:val="left"/>
      <w:pPr>
        <w:ind w:left="2880" w:hanging="360"/>
      </w:pPr>
      <w:rPr>
        <w:rFonts w:hint="default" w:ascii="Symbol" w:hAnsi="Symbol"/>
      </w:rPr>
    </w:lvl>
    <w:lvl w:ilvl="4">
      <w:start w:val="1"/>
      <w:numFmt w:val="bullet"/>
      <w:isLgl w:val="false"/>
      <w:suff w:val="tab"/>
      <w:lvlText w:val="o"/>
      <w:lvlJc w:val="left"/>
      <w:pPr>
        <w:ind w:left="3600" w:hanging="360"/>
      </w:pPr>
      <w:rPr>
        <w:rFonts w:hint="default" w:ascii="Courier New" w:hAnsi="Courier New" w:cs="Courier New"/>
      </w:rPr>
    </w:lvl>
    <w:lvl w:ilvl="5">
      <w:start w:val="1"/>
      <w:numFmt w:val="bullet"/>
      <w:isLgl w:val="false"/>
      <w:suff w:val="tab"/>
      <w:lvlText w:val=""/>
      <w:lvlJc w:val="left"/>
      <w:pPr>
        <w:ind w:left="4320" w:hanging="360"/>
      </w:pPr>
      <w:rPr>
        <w:rFonts w:hint="default" w:ascii="Wingdings" w:hAnsi="Wingdings"/>
      </w:rPr>
    </w:lvl>
    <w:lvl w:ilvl="6">
      <w:start w:val="1"/>
      <w:numFmt w:val="bullet"/>
      <w:isLgl w:val="false"/>
      <w:suff w:val="tab"/>
      <w:lvlText w:val=""/>
      <w:lvlJc w:val="left"/>
      <w:pPr>
        <w:ind w:left="5040" w:hanging="360"/>
      </w:pPr>
      <w:rPr>
        <w:rFonts w:hint="default" w:ascii="Symbol" w:hAnsi="Symbol"/>
      </w:rPr>
    </w:lvl>
    <w:lvl w:ilvl="7">
      <w:start w:val="1"/>
      <w:numFmt w:val="bullet"/>
      <w:isLgl w:val="false"/>
      <w:suff w:val="tab"/>
      <w:lvlText w:val="o"/>
      <w:lvlJc w:val="left"/>
      <w:pPr>
        <w:ind w:left="5760" w:hanging="360"/>
      </w:pPr>
      <w:rPr>
        <w:rFonts w:hint="default" w:ascii="Courier New" w:hAnsi="Courier New" w:cs="Courier New"/>
      </w:rPr>
    </w:lvl>
    <w:lvl w:ilvl="8">
      <w:start w:val="1"/>
      <w:numFmt w:val="bullet"/>
      <w:isLgl w:val="false"/>
      <w:suff w:val="tab"/>
      <w:lvlText w:val=""/>
      <w:lvlJc w:val="left"/>
      <w:pPr>
        <w:ind w:left="6480" w:hanging="360"/>
      </w:pPr>
      <w:rPr>
        <w:rFonts w:hint="default" w:ascii="Wingdings" w:hAnsi="Wingdings"/>
      </w:rPr>
    </w:lvl>
  </w:abstractNum>
  <w:num w:numId="1">
    <w:abstractNumId w:val="0"/>
  </w:num>
  <w:num w:numId="2">
    <w:abstractNumId w:val="8"/>
  </w:num>
  <w:num w:numId="3">
    <w:abstractNumId w:val="5"/>
  </w:num>
  <w:num w:numId="4">
    <w:abstractNumId w:val="14"/>
  </w:num>
  <w:num w:numId="5">
    <w:abstractNumId w:val="7"/>
  </w:num>
  <w:num w:numId="6">
    <w:abstractNumId w:val="10"/>
  </w:num>
  <w:num w:numId="7">
    <w:abstractNumId w:val="2"/>
  </w:num>
  <w:num w:numId="8">
    <w:abstractNumId w:val="4"/>
  </w:num>
  <w:num w:numId="9">
    <w:abstractNumId w:val="12"/>
  </w:num>
  <w:num w:numId="10">
    <w:abstractNumId w:val="1"/>
  </w:num>
  <w:num w:numId="11">
    <w:abstractNumId w:val="17"/>
  </w:num>
  <w:num w:numId="12">
    <w:abstractNumId w:val="16"/>
  </w:num>
  <w:num w:numId="13">
    <w:abstractNumId w:val="11"/>
  </w:num>
  <w:num w:numId="14">
    <w:abstractNumId w:val="9"/>
  </w:num>
  <w:num w:numId="15">
    <w:abstractNumId w:val="15"/>
  </w:num>
  <w:num w:numId="16">
    <w:abstractNumId w:val="6"/>
  </w:num>
  <w:num w:numId="17">
    <w:abstractNumId w:val="13"/>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210"/>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Calibri" w:hAnsi="Calibri" w:eastAsia="Times New Roman" w:cs="Times New Roman"/>
        <w:lang w:val="ru-RU" w:eastAsia="ru-RU" w:bidi="ar-SA"/>
      </w:rPr>
    </w:rPrDefault>
    <w:pPrDefaul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794">
    <w:name w:val="Title Char"/>
    <w:basedOn w:val="804"/>
    <w:link w:val="822"/>
    <w:uiPriority w:val="10"/>
    <w:rPr>
      <w:sz w:val="48"/>
      <w:szCs w:val="48"/>
    </w:rPr>
  </w:style>
  <w:style w:type="character" w:styleId="795">
    <w:name w:val="Subtitle Char"/>
    <w:basedOn w:val="804"/>
    <w:link w:val="824"/>
    <w:uiPriority w:val="11"/>
    <w:rPr>
      <w:sz w:val="24"/>
      <w:szCs w:val="24"/>
    </w:rPr>
  </w:style>
  <w:style w:type="character" w:styleId="796">
    <w:name w:val="Quote Char"/>
    <w:link w:val="826"/>
    <w:uiPriority w:val="29"/>
    <w:rPr>
      <w:i/>
    </w:rPr>
  </w:style>
  <w:style w:type="character" w:styleId="797">
    <w:name w:val="Intense Quote Char"/>
    <w:link w:val="828"/>
    <w:uiPriority w:val="30"/>
    <w:rPr>
      <w:i/>
    </w:rPr>
  </w:style>
  <w:style w:type="character" w:styleId="798">
    <w:name w:val="Endnote Text Char"/>
    <w:link w:val="961"/>
    <w:uiPriority w:val="99"/>
    <w:rPr>
      <w:sz w:val="20"/>
    </w:rPr>
  </w:style>
  <w:style w:type="paragraph" w:styleId="799" w:default="1">
    <w:name w:val="Normal"/>
    <w:qFormat/>
    <w:pPr>
      <w:ind w:right="61" w:firstLine="698"/>
      <w:jc w:val="both"/>
      <w:spacing w:after="13" w:line="269" w:lineRule="auto"/>
    </w:pPr>
    <w:rPr>
      <w:rFonts w:ascii="Times New Roman" w:hAnsi="Times New Roman"/>
      <w:color w:val="000000"/>
      <w:sz w:val="26"/>
      <w:szCs w:val="22"/>
      <w:lang w:val="en-US" w:eastAsia="en-US"/>
    </w:rPr>
  </w:style>
  <w:style w:type="paragraph" w:styleId="800">
    <w:name w:val="Heading 1"/>
    <w:next w:val="799"/>
    <w:link w:val="1004"/>
    <w:unhideWhenUsed/>
    <w:qFormat/>
    <w:pPr>
      <w:ind w:left="467" w:hanging="10"/>
      <w:jc w:val="both"/>
      <w:keepLines/>
      <w:keepNext/>
      <w:spacing w:after="104" w:line="271" w:lineRule="auto"/>
      <w:outlineLvl w:val="0"/>
    </w:pPr>
    <w:rPr>
      <w:rFonts w:ascii="Times New Roman" w:hAnsi="Times New Roman"/>
      <w:b/>
      <w:color w:val="000000"/>
      <w:sz w:val="28"/>
    </w:rPr>
  </w:style>
  <w:style w:type="paragraph" w:styleId="801">
    <w:name w:val="Heading 2"/>
    <w:next w:val="799"/>
    <w:link w:val="1005"/>
    <w:unhideWhenUsed/>
    <w:qFormat/>
    <w:pPr>
      <w:ind w:right="512" w:firstLine="698"/>
      <w:jc w:val="both"/>
      <w:keepLines/>
      <w:keepNext/>
      <w:spacing w:after="10" w:line="271" w:lineRule="auto"/>
      <w:outlineLvl w:val="1"/>
    </w:pPr>
    <w:rPr>
      <w:rFonts w:ascii="Times New Roman" w:hAnsi="Times New Roman"/>
      <w:b/>
      <w:color w:val="000000"/>
      <w:sz w:val="26"/>
    </w:rPr>
  </w:style>
  <w:style w:type="paragraph" w:styleId="802">
    <w:name w:val="Heading 3"/>
    <w:next w:val="799"/>
    <w:link w:val="1006"/>
    <w:unhideWhenUsed/>
    <w:qFormat/>
    <w:pPr>
      <w:ind w:left="467" w:hanging="10"/>
      <w:jc w:val="both"/>
      <w:keepLines/>
      <w:keepNext/>
      <w:spacing w:after="104" w:line="271" w:lineRule="auto"/>
      <w:outlineLvl w:val="2"/>
    </w:pPr>
    <w:rPr>
      <w:rFonts w:ascii="Times New Roman" w:hAnsi="Times New Roman"/>
      <w:b/>
      <w:color w:val="000000"/>
      <w:sz w:val="28"/>
    </w:rPr>
  </w:style>
  <w:style w:type="paragraph" w:styleId="803">
    <w:name w:val="Heading 4"/>
    <w:next w:val="799"/>
    <w:link w:val="1007"/>
    <w:unhideWhenUsed/>
    <w:qFormat/>
    <w:pPr>
      <w:ind w:right="512" w:firstLine="698"/>
      <w:jc w:val="both"/>
      <w:keepLines/>
      <w:keepNext/>
      <w:spacing w:after="10" w:line="271" w:lineRule="auto"/>
      <w:outlineLvl w:val="3"/>
    </w:pPr>
    <w:rPr>
      <w:rFonts w:ascii="Times New Roman" w:hAnsi="Times New Roman"/>
      <w:b/>
      <w:color w:val="000000"/>
      <w:sz w:val="26"/>
    </w:rPr>
  </w:style>
  <w:style w:type="character" w:styleId="804" w:default="1">
    <w:name w:val="Default Paragraph Font"/>
    <w:uiPriority w:val="1"/>
    <w:semiHidden/>
    <w:unhideWhenUsed/>
  </w:style>
  <w:style w:type="table" w:styleId="805" w:default="1">
    <w:name w:val="Normal Table"/>
    <w:uiPriority w:val="99"/>
    <w:semiHidden/>
    <w:unhideWhenUsed/>
    <w:qFormat/>
    <w:tblPr>
      <w:tblInd w:w="0" w:type="dxa"/>
      <w:tblCellMar>
        <w:left w:w="108" w:type="dxa"/>
        <w:top w:w="0" w:type="dxa"/>
        <w:right w:w="108" w:type="dxa"/>
        <w:bottom w:w="0" w:type="dxa"/>
      </w:tblCellMar>
    </w:tblPr>
  </w:style>
  <w:style w:type="numbering" w:styleId="806" w:default="1">
    <w:name w:val="No List"/>
    <w:uiPriority w:val="99"/>
    <w:semiHidden/>
    <w:unhideWhenUsed/>
  </w:style>
  <w:style w:type="character" w:styleId="807" w:customStyle="1">
    <w:name w:val="Heading 1 Char"/>
    <w:basedOn w:val="804"/>
    <w:link w:val="975"/>
    <w:uiPriority w:val="9"/>
    <w:rPr>
      <w:rFonts w:ascii="Arial" w:hAnsi="Arial" w:eastAsia="Arial" w:cs="Arial"/>
      <w:sz w:val="40"/>
      <w:szCs w:val="40"/>
    </w:rPr>
  </w:style>
  <w:style w:type="character" w:styleId="808" w:customStyle="1">
    <w:name w:val="Heading 2 Char"/>
    <w:basedOn w:val="804"/>
    <w:link w:val="976"/>
    <w:uiPriority w:val="9"/>
    <w:rPr>
      <w:rFonts w:ascii="Arial" w:hAnsi="Arial" w:eastAsia="Arial" w:cs="Arial"/>
      <w:sz w:val="34"/>
    </w:rPr>
  </w:style>
  <w:style w:type="character" w:styleId="809" w:customStyle="1">
    <w:name w:val="Heading 3 Char"/>
    <w:basedOn w:val="804"/>
    <w:link w:val="977"/>
    <w:uiPriority w:val="9"/>
    <w:rPr>
      <w:rFonts w:ascii="Arial" w:hAnsi="Arial" w:eastAsia="Arial" w:cs="Arial"/>
      <w:sz w:val="30"/>
      <w:szCs w:val="30"/>
    </w:rPr>
  </w:style>
  <w:style w:type="character" w:styleId="810" w:customStyle="1">
    <w:name w:val="Heading 4 Char"/>
    <w:basedOn w:val="804"/>
    <w:link w:val="978"/>
    <w:uiPriority w:val="9"/>
    <w:rPr>
      <w:rFonts w:ascii="Arial" w:hAnsi="Arial" w:eastAsia="Arial" w:cs="Arial"/>
      <w:b/>
      <w:bCs/>
      <w:sz w:val="26"/>
      <w:szCs w:val="26"/>
    </w:rPr>
  </w:style>
  <w:style w:type="paragraph" w:styleId="811" w:customStyle="1">
    <w:name w:val="Heading 5"/>
    <w:basedOn w:val="799"/>
    <w:next w:val="799"/>
    <w:link w:val="812"/>
    <w:uiPriority w:val="9"/>
    <w:unhideWhenUsed/>
    <w:qFormat/>
    <w:pPr>
      <w:keepLines/>
      <w:keepNext/>
      <w:spacing w:before="320" w:after="200"/>
      <w:outlineLvl w:val="4"/>
    </w:pPr>
    <w:rPr>
      <w:rFonts w:ascii="Arial" w:hAnsi="Arial" w:eastAsia="Arial" w:cs="Arial"/>
      <w:b/>
      <w:bCs/>
      <w:sz w:val="24"/>
      <w:szCs w:val="24"/>
    </w:rPr>
  </w:style>
  <w:style w:type="character" w:styleId="812" w:customStyle="1">
    <w:name w:val="Heading 5 Char"/>
    <w:basedOn w:val="804"/>
    <w:link w:val="811"/>
    <w:uiPriority w:val="9"/>
    <w:rPr>
      <w:rFonts w:ascii="Arial" w:hAnsi="Arial" w:eastAsia="Arial" w:cs="Arial"/>
      <w:b/>
      <w:bCs/>
      <w:sz w:val="24"/>
      <w:szCs w:val="24"/>
    </w:rPr>
  </w:style>
  <w:style w:type="paragraph" w:styleId="813" w:customStyle="1">
    <w:name w:val="Heading 6"/>
    <w:basedOn w:val="799"/>
    <w:next w:val="799"/>
    <w:link w:val="814"/>
    <w:uiPriority w:val="9"/>
    <w:unhideWhenUsed/>
    <w:qFormat/>
    <w:pPr>
      <w:keepLines/>
      <w:keepNext/>
      <w:spacing w:before="320" w:after="200"/>
      <w:outlineLvl w:val="5"/>
    </w:pPr>
    <w:rPr>
      <w:rFonts w:ascii="Arial" w:hAnsi="Arial" w:eastAsia="Arial" w:cs="Arial"/>
      <w:b/>
      <w:bCs/>
      <w:sz w:val="22"/>
    </w:rPr>
  </w:style>
  <w:style w:type="character" w:styleId="814" w:customStyle="1">
    <w:name w:val="Heading 6 Char"/>
    <w:basedOn w:val="804"/>
    <w:link w:val="813"/>
    <w:uiPriority w:val="9"/>
    <w:rPr>
      <w:rFonts w:ascii="Arial" w:hAnsi="Arial" w:eastAsia="Arial" w:cs="Arial"/>
      <w:b/>
      <w:bCs/>
      <w:sz w:val="22"/>
      <w:szCs w:val="22"/>
    </w:rPr>
  </w:style>
  <w:style w:type="paragraph" w:styleId="815" w:customStyle="1">
    <w:name w:val="Heading 7"/>
    <w:basedOn w:val="799"/>
    <w:next w:val="799"/>
    <w:link w:val="816"/>
    <w:uiPriority w:val="9"/>
    <w:unhideWhenUsed/>
    <w:qFormat/>
    <w:pPr>
      <w:keepLines/>
      <w:keepNext/>
      <w:spacing w:before="320" w:after="200"/>
      <w:outlineLvl w:val="6"/>
    </w:pPr>
    <w:rPr>
      <w:rFonts w:ascii="Arial" w:hAnsi="Arial" w:eastAsia="Arial" w:cs="Arial"/>
      <w:b/>
      <w:bCs/>
      <w:i/>
      <w:iCs/>
      <w:sz w:val="22"/>
    </w:rPr>
  </w:style>
  <w:style w:type="character" w:styleId="816" w:customStyle="1">
    <w:name w:val="Heading 7 Char"/>
    <w:basedOn w:val="804"/>
    <w:link w:val="815"/>
    <w:uiPriority w:val="9"/>
    <w:rPr>
      <w:rFonts w:ascii="Arial" w:hAnsi="Arial" w:eastAsia="Arial" w:cs="Arial"/>
      <w:b/>
      <w:bCs/>
      <w:i/>
      <w:iCs/>
      <w:sz w:val="22"/>
      <w:szCs w:val="22"/>
    </w:rPr>
  </w:style>
  <w:style w:type="paragraph" w:styleId="817" w:customStyle="1">
    <w:name w:val="Heading 8"/>
    <w:basedOn w:val="799"/>
    <w:next w:val="799"/>
    <w:link w:val="818"/>
    <w:uiPriority w:val="9"/>
    <w:unhideWhenUsed/>
    <w:qFormat/>
    <w:pPr>
      <w:keepLines/>
      <w:keepNext/>
      <w:spacing w:before="320" w:after="200"/>
      <w:outlineLvl w:val="7"/>
    </w:pPr>
    <w:rPr>
      <w:rFonts w:ascii="Arial" w:hAnsi="Arial" w:eastAsia="Arial" w:cs="Arial"/>
      <w:i/>
      <w:iCs/>
      <w:sz w:val="22"/>
    </w:rPr>
  </w:style>
  <w:style w:type="character" w:styleId="818" w:customStyle="1">
    <w:name w:val="Heading 8 Char"/>
    <w:basedOn w:val="804"/>
    <w:link w:val="817"/>
    <w:uiPriority w:val="9"/>
    <w:rPr>
      <w:rFonts w:ascii="Arial" w:hAnsi="Arial" w:eastAsia="Arial" w:cs="Arial"/>
      <w:i/>
      <w:iCs/>
      <w:sz w:val="22"/>
      <w:szCs w:val="22"/>
    </w:rPr>
  </w:style>
  <w:style w:type="paragraph" w:styleId="819" w:customStyle="1">
    <w:name w:val="Heading 9"/>
    <w:basedOn w:val="799"/>
    <w:next w:val="799"/>
    <w:link w:val="820"/>
    <w:uiPriority w:val="9"/>
    <w:unhideWhenUsed/>
    <w:qFormat/>
    <w:pPr>
      <w:keepLines/>
      <w:keepNext/>
      <w:spacing w:before="320" w:after="200"/>
      <w:outlineLvl w:val="8"/>
    </w:pPr>
    <w:rPr>
      <w:rFonts w:ascii="Arial" w:hAnsi="Arial" w:eastAsia="Arial" w:cs="Arial"/>
      <w:i/>
      <w:iCs/>
      <w:sz w:val="21"/>
      <w:szCs w:val="21"/>
    </w:rPr>
  </w:style>
  <w:style w:type="character" w:styleId="820" w:customStyle="1">
    <w:name w:val="Heading 9 Char"/>
    <w:basedOn w:val="804"/>
    <w:link w:val="819"/>
    <w:uiPriority w:val="9"/>
    <w:rPr>
      <w:rFonts w:ascii="Arial" w:hAnsi="Arial" w:eastAsia="Arial" w:cs="Arial"/>
      <w:i/>
      <w:iCs/>
      <w:sz w:val="21"/>
      <w:szCs w:val="21"/>
    </w:rPr>
  </w:style>
  <w:style w:type="paragraph" w:styleId="821">
    <w:name w:val="No Spacing"/>
    <w:uiPriority w:val="1"/>
    <w:qFormat/>
  </w:style>
  <w:style w:type="paragraph" w:styleId="822">
    <w:name w:val="Title"/>
    <w:basedOn w:val="799"/>
    <w:next w:val="799"/>
    <w:link w:val="823"/>
    <w:uiPriority w:val="10"/>
    <w:qFormat/>
    <w:pPr>
      <w:contextualSpacing/>
      <w:spacing w:before="300" w:after="200"/>
    </w:pPr>
    <w:rPr>
      <w:sz w:val="48"/>
      <w:szCs w:val="48"/>
    </w:rPr>
  </w:style>
  <w:style w:type="character" w:styleId="823" w:customStyle="1">
    <w:name w:val="Название Знак"/>
    <w:basedOn w:val="804"/>
    <w:link w:val="822"/>
    <w:uiPriority w:val="10"/>
    <w:rPr>
      <w:sz w:val="48"/>
      <w:szCs w:val="48"/>
    </w:rPr>
  </w:style>
  <w:style w:type="paragraph" w:styleId="824">
    <w:name w:val="Subtitle"/>
    <w:basedOn w:val="799"/>
    <w:next w:val="799"/>
    <w:link w:val="825"/>
    <w:uiPriority w:val="11"/>
    <w:qFormat/>
    <w:pPr>
      <w:spacing w:before="200" w:after="200"/>
    </w:pPr>
    <w:rPr>
      <w:sz w:val="24"/>
      <w:szCs w:val="24"/>
    </w:rPr>
  </w:style>
  <w:style w:type="character" w:styleId="825" w:customStyle="1">
    <w:name w:val="Подзаголовок Знак"/>
    <w:basedOn w:val="804"/>
    <w:link w:val="824"/>
    <w:uiPriority w:val="11"/>
    <w:rPr>
      <w:sz w:val="24"/>
      <w:szCs w:val="24"/>
    </w:rPr>
  </w:style>
  <w:style w:type="paragraph" w:styleId="826">
    <w:name w:val="Quote"/>
    <w:basedOn w:val="799"/>
    <w:next w:val="799"/>
    <w:link w:val="827"/>
    <w:uiPriority w:val="29"/>
    <w:qFormat/>
    <w:pPr>
      <w:ind w:left="720" w:right="720"/>
    </w:pPr>
    <w:rPr>
      <w:i/>
    </w:rPr>
  </w:style>
  <w:style w:type="character" w:styleId="827" w:customStyle="1">
    <w:name w:val="Цитата 2 Знак"/>
    <w:link w:val="826"/>
    <w:uiPriority w:val="29"/>
    <w:rPr>
      <w:i/>
    </w:rPr>
  </w:style>
  <w:style w:type="paragraph" w:styleId="828">
    <w:name w:val="Intense Quote"/>
    <w:basedOn w:val="799"/>
    <w:next w:val="799"/>
    <w:link w:val="829"/>
    <w:uiPriority w:val="30"/>
    <w:qFormat/>
    <w:pPr>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829" w:customStyle="1">
    <w:name w:val="Выделенная цитата Знак"/>
    <w:link w:val="828"/>
    <w:uiPriority w:val="30"/>
    <w:rPr>
      <w:i/>
    </w:rPr>
  </w:style>
  <w:style w:type="character" w:styleId="830" w:customStyle="1">
    <w:name w:val="Header Char"/>
    <w:basedOn w:val="804"/>
    <w:link w:val="987"/>
    <w:uiPriority w:val="99"/>
  </w:style>
  <w:style w:type="character" w:styleId="831" w:customStyle="1">
    <w:name w:val="Footer Char"/>
    <w:basedOn w:val="804"/>
    <w:link w:val="989"/>
    <w:uiPriority w:val="99"/>
  </w:style>
  <w:style w:type="paragraph" w:styleId="832" w:customStyle="1">
    <w:name w:val="Caption"/>
    <w:basedOn w:val="799"/>
    <w:next w:val="799"/>
    <w:uiPriority w:val="35"/>
    <w:semiHidden/>
    <w:unhideWhenUsed/>
    <w:qFormat/>
    <w:pPr>
      <w:spacing w:line="276" w:lineRule="auto"/>
    </w:pPr>
    <w:rPr>
      <w:b/>
      <w:bCs/>
      <w:color w:val="4f81bd" w:themeColor="accent1"/>
      <w:sz w:val="18"/>
      <w:szCs w:val="18"/>
    </w:rPr>
  </w:style>
  <w:style w:type="character" w:styleId="833" w:customStyle="1">
    <w:name w:val="Caption Char"/>
    <w:link w:val="989"/>
    <w:uiPriority w:val="99"/>
  </w:style>
  <w:style w:type="table" w:styleId="834" w:customStyle="1">
    <w:name w:val="Table Grid Light"/>
    <w:basedOn w:val="805"/>
    <w:uiPriority w:val="59"/>
    <w:tblPr>
      <w:tblInd w:w="0" w:type="dxa"/>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CellMar>
        <w:left w:w="108" w:type="dxa"/>
        <w:top w:w="0" w:type="dxa"/>
        <w:right w:w="108" w:type="dxa"/>
        <w:bottom w:w="0" w:type="dxa"/>
      </w:tblCellMar>
    </w:tblPr>
  </w:style>
  <w:style w:type="table" w:styleId="835" w:customStyle="1">
    <w:name w:val="Plain Table 1"/>
    <w:basedOn w:val="805"/>
    <w:uiPriority w:val="59"/>
    <w:tblPr>
      <w:tblInd w:w="0" w:type="dxa"/>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CellMar>
        <w:left w:w="108" w:type="dxa"/>
        <w:top w:w="0" w:type="dxa"/>
        <w:right w:w="108" w:type="dxa"/>
        <w:bottom w:w="0" w:type="dxa"/>
      </w:tblCellMar>
    </w:tblPr>
    <w:tblStylePr w:type="band1Horz">
      <w:tcPr>
        <w:shd w:val="clear" w:color="f2f2f2" w:themeColor="text1" w:themeTint="00" w:fill="f2f2f2" w:themeFill="text1" w:themeFillTint="00"/>
      </w:tcPr>
    </w:tblStylePr>
    <w:tblStylePr w:type="band1Vert">
      <w:tcPr>
        <w:shd w:val="clear" w:color="f2f2f2" w:themeColor="text1" w:themeTint="00" w:fill="f2f2f2" w:themeFill="text1" w:themeFillTint="00"/>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836" w:customStyle="1">
    <w:name w:val="Plain Table 2"/>
    <w:basedOn w:val="805"/>
    <w:uiPriority w:val="59"/>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837" w:customStyle="1">
    <w:name w:val="Plain Table 3"/>
    <w:basedOn w:val="805"/>
    <w:uiPriority w:val="99"/>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cPr>
        <w:shd w:val="clear" w:color="f2f2f2" w:themeColor="text1" w:themeTint="00" w:fill="f2f2f2" w:themeFill="text1" w:themeFillTint="00"/>
      </w:tcPr>
    </w:tblStylePr>
    <w:tblStylePr w:type="band1Vert">
      <w:rPr>
        <w:rFonts w:ascii="Arial" w:hAnsi="Arial"/>
        <w:color w:val="404040"/>
        <w:sz w:val="22"/>
      </w:rPr>
      <w:tcPr>
        <w:shd w:val="clear" w:color="f2f2f2" w:themeColor="text1" w:themeTint="00" w:fill="f2f2f2" w:themeFill="text1" w:themeFillTint="00"/>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838" w:customStyle="1">
    <w:name w:val="Plain Table 4"/>
    <w:basedOn w:val="805"/>
    <w:uiPriority w:val="99"/>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cPr>
        <w:shd w:val="clear" w:color="f2f2f2" w:themeColor="text1" w:themeTint="00" w:fill="f2f2f2" w:themeFill="text1" w:themeFillTint="00"/>
      </w:tcPr>
    </w:tblStylePr>
    <w:tblStylePr w:type="band1Vert">
      <w:rPr>
        <w:rFonts w:ascii="Arial" w:hAnsi="Arial"/>
        <w:color w:val="404040"/>
        <w:sz w:val="22"/>
      </w:rPr>
      <w:tcPr>
        <w:shd w:val="clear" w:color="f2f2f2" w:themeColor="text1" w:themeTint="00" w:fill="f2f2f2" w:themeFill="text1" w:themeFillTint="00"/>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839" w:customStyle="1">
    <w:name w:val="Plain Table 5"/>
    <w:basedOn w:val="805"/>
    <w:uiPriority w:val="99"/>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cPr>
        <w:shd w:val="clear" w:color="f2f2f2" w:themeColor="text1" w:themeTint="00" w:fill="f2f2f2" w:themeFill="text1" w:themeFillTint="00"/>
      </w:tcPr>
    </w:tblStylePr>
    <w:tblStylePr w:type="band1Vert">
      <w:rPr>
        <w:rFonts w:ascii="Arial" w:hAnsi="Arial"/>
        <w:color w:val="404040"/>
        <w:sz w:val="22"/>
      </w:rPr>
      <w:tcPr>
        <w:shd w:val="clear" w:color="f2f2f2" w:themeColor="text1" w:themeTint="00" w:fill="f2f2f2" w:themeFill="text1" w:themeFillTint="00"/>
      </w:tcPr>
    </w:tblStylePr>
    <w:tblStylePr w:type="firstCol">
      <w:rPr>
        <w:i/>
        <w:color w:val="404040"/>
      </w:rPr>
      <w:pPr>
        <w:jc w:val="right"/>
      </w:pPr>
      <w:tcPr>
        <w:shd w:val="clear" w:color="ffffff" w:fill="auto"/>
        <w:tcBorders>
          <w:right w:val="single" w:color="404040" w:sz="4" w:space="0"/>
        </w:tcBorders>
      </w:tcPr>
    </w:tblStylePr>
    <w:tblStylePr w:type="firstRow">
      <w:rPr>
        <w:i/>
        <w:color w:val="404040"/>
      </w:rPr>
      <w:tcPr>
        <w:shd w:val="clear" w:color="ffffff" w:fill="auto"/>
        <w:tcBorders>
          <w:left w:val="none" w:color="000000" w:sz="4" w:space="0"/>
          <w:bottom w:val="single" w:color="404040" w:sz="4" w:space="0"/>
          <w:right w:val="none" w:color="000000" w:sz="4" w:space="0"/>
        </w:tcBorders>
      </w:tcPr>
    </w:tblStylePr>
    <w:tblStylePr w:type="lastCol">
      <w:rPr>
        <w:i/>
        <w:color w:val="404040"/>
      </w:rPr>
      <w:tcPr>
        <w:shd w:val="clear" w:color="ffffff" w:fill="auto"/>
        <w:tcBorders>
          <w:left w:val="single" w:color="404040" w:sz="4" w:space="0"/>
        </w:tcBorders>
      </w:tcPr>
    </w:tblStylePr>
    <w:tblStylePr w:type="lastRow">
      <w:rPr>
        <w:i/>
        <w:color w:val="404040"/>
      </w:rPr>
      <w:tcPr>
        <w:shd w:val="clear" w:color="ffffff" w:fill="auto"/>
        <w:tcBorders>
          <w:top w:val="single" w:color="404040" w:sz="4" w:space="0"/>
          <w:left w:val="none" w:color="000000" w:sz="4" w:space="0"/>
          <w:right w:val="none" w:color="000000" w:sz="4" w:space="0"/>
        </w:tcBorders>
      </w:tcPr>
    </w:tblStylePr>
  </w:style>
  <w:style w:type="table" w:styleId="840" w:customStyle="1">
    <w:name w:val="Grid Table 1 Light"/>
    <w:basedOn w:val="805"/>
    <w:uiPriority w:val="99"/>
    <w:tblPr>
      <w:tblStyleRowBandSize w:val="1"/>
      <w:tblStyleColBandSize w:val="1"/>
      <w:tblInd w:w="0" w:type="dxa"/>
      <w:tbl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insideH w:val="single" w:color="989898" w:themeColor="text1" w:themeTint="67" w:sz="4" w:space="0"/>
        <w:insideV w:val="single" w:color="989898" w:themeColor="text1"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tcBorders>
      </w:tcPr>
    </w:tblStylePr>
    <w:tblStylePr w:type="firstCol">
      <w:rPr>
        <w:b/>
        <w:color w:val="404040"/>
      </w:rPr>
    </w:tblStylePr>
    <w:tblStylePr w:type="firstRow">
      <w:rPr>
        <w:b/>
        <w:color w:val="404040"/>
      </w:rPr>
      <w:tcPr>
        <w:tcBorders>
          <w:bottom w:val="single" w:color="6A6A6A" w:themeColor="text1" w:themeTint="95" w:sz="12" w:space="0"/>
        </w:tcBorders>
      </w:tcPr>
    </w:tblStylePr>
    <w:tblStylePr w:type="lastCol">
      <w:rPr>
        <w:b/>
        <w:color w:val="404040"/>
      </w:rPr>
    </w:tblStylePr>
    <w:tblStylePr w:type="lastRow">
      <w:rPr>
        <w:b/>
        <w:color w:val="404040"/>
      </w:rPr>
    </w:tblStylePr>
  </w:style>
  <w:style w:type="table" w:styleId="841" w:customStyle="1">
    <w:name w:val="Grid Table 1 Light - Accent 1"/>
    <w:basedOn w:val="805"/>
    <w:uiPriority w:val="99"/>
    <w:tblPr>
      <w:tblStyleRowBandSize w:val="1"/>
      <w:tblStyleColBandSize w:val="1"/>
      <w:tblInd w:w="0" w:type="dxa"/>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b/>
        <w:color w:val="404040"/>
      </w:rPr>
    </w:tblStylePr>
    <w:tblStylePr w:type="firstRow">
      <w:rPr>
        <w:b/>
        <w:color w:val="404040"/>
      </w:rPr>
      <w:tcPr>
        <w:tcBorders>
          <w:bottom w:val="single" w:color="97B4D8" w:themeColor="accent1" w:themeTint="95" w:sz="12" w:space="0"/>
        </w:tcBorders>
      </w:tcPr>
    </w:tblStylePr>
    <w:tblStylePr w:type="lastCol">
      <w:rPr>
        <w:b/>
        <w:color w:val="404040"/>
      </w:rPr>
    </w:tblStylePr>
    <w:tblStylePr w:type="lastRow">
      <w:rPr>
        <w:b/>
        <w:color w:val="404040"/>
      </w:rPr>
    </w:tblStylePr>
  </w:style>
  <w:style w:type="table" w:styleId="842" w:customStyle="1">
    <w:name w:val="Grid Table 1 Light - Accent 2"/>
    <w:basedOn w:val="805"/>
    <w:uiPriority w:val="99"/>
    <w:tblPr>
      <w:tblStyleRowBandSize w:val="1"/>
      <w:tblStyleColBandSize w:val="1"/>
      <w:tblInd w:w="0" w:type="dxa"/>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b/>
        <w:color w:val="404040"/>
      </w:rPr>
    </w:tblStylePr>
    <w:tblStylePr w:type="firstRow">
      <w:rPr>
        <w:b/>
        <w:color w:val="404040"/>
      </w:rPr>
      <w:tcPr>
        <w:tcBorders>
          <w:bottom w:val="single" w:color="DA9896" w:themeColor="accent2" w:themeTint="95" w:sz="12" w:space="0"/>
        </w:tcBorders>
      </w:tcPr>
    </w:tblStylePr>
    <w:tblStylePr w:type="lastCol">
      <w:rPr>
        <w:b/>
        <w:color w:val="404040"/>
      </w:rPr>
    </w:tblStylePr>
    <w:tblStylePr w:type="lastRow">
      <w:rPr>
        <w:b/>
        <w:color w:val="404040"/>
      </w:rPr>
    </w:tblStylePr>
  </w:style>
  <w:style w:type="table" w:styleId="843" w:customStyle="1">
    <w:name w:val="Grid Table 1 Light - Accent 3"/>
    <w:basedOn w:val="805"/>
    <w:uiPriority w:val="99"/>
    <w:tblPr>
      <w:tblStyleRowBandSize w:val="1"/>
      <w:tblStyleColBandSize w:val="1"/>
      <w:tblInd w:w="0" w:type="dxa"/>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b/>
        <w:color w:val="404040"/>
      </w:rPr>
    </w:tblStylePr>
    <w:tblStylePr w:type="firstRow">
      <w:rPr>
        <w:b/>
        <w:color w:val="404040"/>
      </w:rPr>
      <w:tcPr>
        <w:tcBorders>
          <w:bottom w:val="single" w:color="C4D79D" w:themeColor="accent3" w:themeTint="95" w:sz="12" w:space="0"/>
        </w:tcBorders>
      </w:tcPr>
    </w:tblStylePr>
    <w:tblStylePr w:type="lastCol">
      <w:rPr>
        <w:b/>
        <w:color w:val="404040"/>
      </w:rPr>
    </w:tblStylePr>
    <w:tblStylePr w:type="lastRow">
      <w:rPr>
        <w:b/>
        <w:color w:val="404040"/>
      </w:rPr>
    </w:tblStylePr>
  </w:style>
  <w:style w:type="table" w:styleId="844" w:customStyle="1">
    <w:name w:val="Grid Table 1 Light - Accent 4"/>
    <w:basedOn w:val="805"/>
    <w:uiPriority w:val="99"/>
    <w:tblPr>
      <w:tblStyleRowBandSize w:val="1"/>
      <w:tblStyleColBandSize w:val="1"/>
      <w:tblInd w:w="0" w:type="dxa"/>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b/>
        <w:color w:val="404040"/>
      </w:rPr>
    </w:tblStylePr>
    <w:tblStylePr w:type="firstRow">
      <w:rPr>
        <w:b/>
        <w:color w:val="404040"/>
      </w:rPr>
      <w:tcPr>
        <w:tcBorders>
          <w:bottom w:val="single" w:color="B4A4C8" w:themeColor="accent4" w:themeTint="95" w:sz="12" w:space="0"/>
        </w:tcBorders>
      </w:tcPr>
    </w:tblStylePr>
    <w:tblStylePr w:type="lastCol">
      <w:rPr>
        <w:b/>
        <w:color w:val="404040"/>
      </w:rPr>
    </w:tblStylePr>
    <w:tblStylePr w:type="lastRow">
      <w:rPr>
        <w:b/>
        <w:color w:val="404040"/>
      </w:rPr>
    </w:tblStylePr>
  </w:style>
  <w:style w:type="table" w:styleId="845" w:customStyle="1">
    <w:name w:val="Grid Table 1 Light - Accent 5"/>
    <w:basedOn w:val="805"/>
    <w:uiPriority w:val="99"/>
    <w:tblPr>
      <w:tblStyleRowBandSize w:val="1"/>
      <w:tblStyleColBandSize w:val="1"/>
      <w:tblInd w:w="0" w:type="dxa"/>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b/>
        <w:color w:val="404040"/>
      </w:rPr>
    </w:tblStylePr>
    <w:tblStylePr w:type="firstRow">
      <w:rPr>
        <w:b/>
        <w:color w:val="404040"/>
      </w:rPr>
      <w:tcPr>
        <w:tcBorders>
          <w:bottom w:val="single" w:color="95CEDD" w:themeColor="accent5" w:themeTint="95" w:sz="12" w:space="0"/>
        </w:tcBorders>
      </w:tcPr>
    </w:tblStylePr>
    <w:tblStylePr w:type="lastCol">
      <w:rPr>
        <w:b/>
        <w:color w:val="404040"/>
      </w:rPr>
    </w:tblStylePr>
    <w:tblStylePr w:type="lastRow">
      <w:rPr>
        <w:b/>
        <w:color w:val="404040"/>
      </w:rPr>
    </w:tblStylePr>
  </w:style>
  <w:style w:type="table" w:styleId="846" w:customStyle="1">
    <w:name w:val="Grid Table 1 Light - Accent 6"/>
    <w:basedOn w:val="805"/>
    <w:uiPriority w:val="99"/>
    <w:tblPr>
      <w:tblStyleRowBandSize w:val="1"/>
      <w:tblStyleColBandSize w:val="1"/>
      <w:tblInd w:w="0" w:type="dxa"/>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b/>
        <w:color w:val="404040"/>
      </w:rPr>
    </w:tblStylePr>
    <w:tblStylePr w:type="firstRow">
      <w:rPr>
        <w:b/>
        <w:color w:val="404040"/>
      </w:rPr>
      <w:tcPr>
        <w:tcBorders>
          <w:bottom w:val="single" w:color="FAC192" w:themeColor="accent6" w:themeTint="95" w:sz="12" w:space="0"/>
        </w:tcBorders>
      </w:tcPr>
    </w:tblStylePr>
    <w:tblStylePr w:type="lastCol">
      <w:rPr>
        <w:b/>
        <w:color w:val="404040"/>
      </w:rPr>
    </w:tblStylePr>
    <w:tblStylePr w:type="lastRow">
      <w:rPr>
        <w:b/>
        <w:color w:val="404040"/>
      </w:rPr>
    </w:tblStylePr>
  </w:style>
  <w:style w:type="table" w:styleId="847" w:customStyle="1">
    <w:name w:val="Grid Table 2"/>
    <w:basedOn w:val="805"/>
    <w:uiPriority w:val="99"/>
    <w:tblPr>
      <w:tblStyleRowBandSize w:val="1"/>
      <w:tblStyleColBandSize w:val="1"/>
      <w:tblInd w:w="0" w:type="dxa"/>
      <w:tblBorders>
        <w:bottom w:val="single" w:color="6A6A6A" w:themeColor="text1" w:themeTint="95" w:sz="4" w:space="0"/>
        <w:insideH w:val="single" w:color="6A6A6A" w:themeColor="text1" w:themeTint="95" w:sz="4" w:space="0"/>
        <w:insideV w:val="single" w:color="6A6A6A" w:themeColor="text1" w:themeTint="95" w:sz="4" w:space="0"/>
      </w:tblBorders>
      <w:tblCellMar>
        <w:left w:w="108" w:type="dxa"/>
        <w:top w:w="0" w:type="dxa"/>
        <w:right w:w="108" w:type="dxa"/>
        <w:bottom w:w="0" w:type="dxa"/>
      </w:tblCellMar>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6A6A6A" w:themeColor="text1" w:themeTint="9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6A6A6A" w:themeColor="text1" w:themeTint="95" w:sz="4" w:space="0"/>
          <w:left w:val="none" w:color="000000" w:sz="4" w:space="0"/>
          <w:bottom w:val="none" w:color="000000" w:sz="4" w:space="0"/>
          <w:right w:val="none" w:color="000000" w:sz="4" w:space="0"/>
        </w:tcBorders>
      </w:tcPr>
    </w:tblStylePr>
  </w:style>
  <w:style w:type="table" w:styleId="848" w:customStyle="1">
    <w:name w:val="Grid Table 2 - Accent 1"/>
    <w:basedOn w:val="805"/>
    <w:uiPriority w:val="99"/>
    <w:tblPr>
      <w:tblStyleRowBandSize w:val="1"/>
      <w:tblStyleColBandSize w:val="1"/>
      <w:tblInd w:w="0" w:type="dxa"/>
      <w:tblBorders>
        <w:bottom w:val="single" w:color="5D8AC2" w:themeColor="accent1" w:themeTint="EA" w:sz="4" w:space="0"/>
        <w:insideH w:val="single" w:color="5D8AC2" w:themeColor="accent1" w:themeTint="EA" w:sz="4" w:space="0"/>
        <w:insideV w:val="single" w:color="5D8AC2" w:themeColor="accent1" w:themeTint="EA" w:sz="4" w:space="0"/>
      </w:tblBorders>
      <w:tblCellMar>
        <w:left w:w="108" w:type="dxa"/>
        <w:top w:w="0" w:type="dxa"/>
        <w:right w:w="108" w:type="dxa"/>
        <w:bottom w:w="0" w:type="dxa"/>
      </w:tblCellMar>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5D8AC2" w:themeColor="accent1" w:themeTint="E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5D8AC2" w:themeColor="accent1" w:themeTint="EA" w:sz="4" w:space="0"/>
          <w:left w:val="none" w:color="000000" w:sz="4" w:space="0"/>
          <w:bottom w:val="none" w:color="000000" w:sz="4" w:space="0"/>
          <w:right w:val="none" w:color="000000" w:sz="4" w:space="0"/>
        </w:tcBorders>
      </w:tcPr>
    </w:tblStylePr>
  </w:style>
  <w:style w:type="table" w:styleId="849" w:customStyle="1">
    <w:name w:val="Grid Table 2 - Accent 2"/>
    <w:basedOn w:val="805"/>
    <w:uiPriority w:val="99"/>
    <w:tblPr>
      <w:tblStyleRowBandSize w:val="1"/>
      <w:tblStyleColBandSize w:val="1"/>
      <w:tblInd w:w="0" w:type="dxa"/>
      <w:tblBorders>
        <w:bottom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D99695" w:themeColor="accent2" w:themeTint="97"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D99695" w:themeColor="accent2" w:themeTint="97" w:sz="4" w:space="0"/>
          <w:left w:val="none" w:color="000000" w:sz="4" w:space="0"/>
          <w:bottom w:val="none" w:color="000000" w:sz="4" w:space="0"/>
          <w:right w:val="none" w:color="000000" w:sz="4" w:space="0"/>
        </w:tcBorders>
      </w:tcPr>
    </w:tblStylePr>
  </w:style>
  <w:style w:type="table" w:styleId="850" w:customStyle="1">
    <w:name w:val="Grid Table 2 - Accent 3"/>
    <w:basedOn w:val="805"/>
    <w:uiPriority w:val="99"/>
    <w:tblPr>
      <w:tblStyleRowBandSize w:val="1"/>
      <w:tblStyleColBandSize w:val="1"/>
      <w:tblInd w:w="0" w:type="dxa"/>
      <w:tblBorders>
        <w:bottom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9ABB59" w:themeColor="accent3" w:themeTint="FE"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9ABB59" w:themeColor="accent3" w:themeTint="FE" w:sz="4" w:space="0"/>
          <w:left w:val="none" w:color="000000" w:sz="4" w:space="0"/>
          <w:bottom w:val="none" w:color="000000" w:sz="4" w:space="0"/>
          <w:right w:val="none" w:color="000000" w:sz="4" w:space="0"/>
        </w:tcBorders>
      </w:tcPr>
    </w:tblStylePr>
  </w:style>
  <w:style w:type="table" w:styleId="851" w:customStyle="1">
    <w:name w:val="Grid Table 2 - Accent 4"/>
    <w:basedOn w:val="805"/>
    <w:uiPriority w:val="99"/>
    <w:tblPr>
      <w:tblStyleRowBandSize w:val="1"/>
      <w:tblStyleColBandSize w:val="1"/>
      <w:tblInd w:w="0" w:type="dxa"/>
      <w:tblBorders>
        <w:bottom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B2A1C6" w:themeColor="accent4" w:themeTint="9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B2A1C6" w:themeColor="accent4" w:themeTint="9A" w:sz="4" w:space="0"/>
          <w:left w:val="none" w:color="000000" w:sz="4" w:space="0"/>
          <w:bottom w:val="none" w:color="000000" w:sz="4" w:space="0"/>
          <w:right w:val="none" w:color="000000" w:sz="4" w:space="0"/>
        </w:tcBorders>
      </w:tcPr>
    </w:tblStylePr>
  </w:style>
  <w:style w:type="table" w:styleId="852" w:customStyle="1">
    <w:name w:val="Grid Table 2 - Accent 5"/>
    <w:basedOn w:val="805"/>
    <w:uiPriority w:val="99"/>
    <w:tblPr>
      <w:tblStyleRowBandSize w:val="1"/>
      <w:tblStyleColBandSize w:val="1"/>
      <w:tblInd w:w="0" w:type="dxa"/>
      <w:tblBorders>
        <w:bottom w:val="single" w:color="4BACC6" w:themeColor="accent5" w:sz="4" w:space="0"/>
        <w:insideH w:val="single" w:color="4BACC6" w:themeColor="accent5" w:sz="4" w:space="0"/>
        <w:insideV w:val="single" w:color="4BACC6" w:themeColor="accent5" w:sz="4" w:space="0"/>
      </w:tblBorders>
      <w:tblCellMar>
        <w:left w:w="108" w:type="dxa"/>
        <w:top w:w="0" w:type="dxa"/>
        <w:right w:w="108" w:type="dxa"/>
        <w:bottom w:w="0" w:type="dxa"/>
      </w:tblCellMar>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4BACC6" w:themeColor="accent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4BACC6" w:themeColor="accent5" w:sz="4" w:space="0"/>
          <w:left w:val="none" w:color="000000" w:sz="4" w:space="0"/>
          <w:bottom w:val="none" w:color="000000" w:sz="4" w:space="0"/>
          <w:right w:val="none" w:color="000000" w:sz="4" w:space="0"/>
        </w:tcBorders>
      </w:tcPr>
    </w:tblStylePr>
  </w:style>
  <w:style w:type="table" w:styleId="853" w:customStyle="1">
    <w:name w:val="Grid Table 2 - Accent 6"/>
    <w:basedOn w:val="805"/>
    <w:uiPriority w:val="99"/>
    <w:tblPr>
      <w:tblStyleRowBandSize w:val="1"/>
      <w:tblStyleColBandSize w:val="1"/>
      <w:tblInd w:w="0" w:type="dxa"/>
      <w:tblBorders>
        <w:bottom w:val="single" w:color="F79646" w:themeColor="accent6" w:sz="4" w:space="0"/>
        <w:insideH w:val="single" w:color="F79646" w:themeColor="accent6" w:sz="4" w:space="0"/>
        <w:insideV w:val="single" w:color="F79646" w:themeColor="accent6" w:sz="4" w:space="0"/>
      </w:tblBorders>
      <w:tblCellMar>
        <w:left w:w="108" w:type="dxa"/>
        <w:top w:w="0" w:type="dxa"/>
        <w:right w:w="108" w:type="dxa"/>
        <w:bottom w:w="0" w:type="dxa"/>
      </w:tblCellMar>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F79646" w:themeColor="accent6"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F79646" w:themeColor="accent6" w:sz="4" w:space="0"/>
          <w:left w:val="none" w:color="000000" w:sz="4" w:space="0"/>
          <w:bottom w:val="none" w:color="000000" w:sz="4" w:space="0"/>
          <w:right w:val="none" w:color="000000" w:sz="4" w:space="0"/>
        </w:tcBorders>
      </w:tcPr>
    </w:tblStylePr>
  </w:style>
  <w:style w:type="table" w:styleId="854" w:customStyle="1">
    <w:name w:val="Grid Table 3"/>
    <w:basedOn w:val="805"/>
    <w:uiPriority w:val="99"/>
    <w:tblPr>
      <w:tblStyleRowBandSize w:val="1"/>
      <w:tblStyleColBandSize w:val="1"/>
      <w:tblInd w:w="0" w:type="dxa"/>
      <w:tblBorders>
        <w:bottom w:val="single" w:color="6A6A6A" w:themeColor="text1" w:themeTint="95" w:sz="4" w:space="0"/>
        <w:insideH w:val="single" w:color="6A6A6A" w:themeColor="text1" w:themeTint="95" w:sz="4" w:space="0"/>
        <w:insideV w:val="single" w:color="6A6A6A" w:themeColor="text1" w:themeTint="95" w:sz="4" w:space="0"/>
      </w:tblBorders>
      <w:tblCellMar>
        <w:left w:w="108" w:type="dxa"/>
        <w:top w:w="0" w:type="dxa"/>
        <w:right w:w="108" w:type="dxa"/>
        <w:bottom w:w="0" w:type="dxa"/>
      </w:tblCellMar>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55" w:customStyle="1">
    <w:name w:val="Grid Table 3 - Accent 1"/>
    <w:basedOn w:val="805"/>
    <w:uiPriority w:val="99"/>
    <w:tblPr>
      <w:tblStyleRowBandSize w:val="1"/>
      <w:tblStyleColBandSize w:val="1"/>
      <w:tblInd w:w="0" w:type="dxa"/>
      <w:tblBorders>
        <w:bottom w:val="single" w:color="5D8AC2" w:themeColor="accent1" w:themeTint="EA" w:sz="4" w:space="0"/>
        <w:insideH w:val="single" w:color="5D8AC2" w:themeColor="accent1" w:themeTint="EA" w:sz="4" w:space="0"/>
        <w:insideV w:val="single" w:color="5D8AC2" w:themeColor="accent1" w:themeTint="EA" w:sz="4" w:space="0"/>
      </w:tblBorders>
      <w:tblCellMar>
        <w:left w:w="108" w:type="dxa"/>
        <w:top w:w="0" w:type="dxa"/>
        <w:right w:w="108" w:type="dxa"/>
        <w:bottom w:w="0" w:type="dxa"/>
      </w:tblCellMar>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56" w:customStyle="1">
    <w:name w:val="Grid Table 3 - Accent 2"/>
    <w:basedOn w:val="805"/>
    <w:uiPriority w:val="99"/>
    <w:tblPr>
      <w:tblStyleRowBandSize w:val="1"/>
      <w:tblStyleColBandSize w:val="1"/>
      <w:tblInd w:w="0" w:type="dxa"/>
      <w:tblBorders>
        <w:bottom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57" w:customStyle="1">
    <w:name w:val="Grid Table 3 - Accent 3"/>
    <w:basedOn w:val="805"/>
    <w:uiPriority w:val="99"/>
    <w:tblPr>
      <w:tblStyleRowBandSize w:val="1"/>
      <w:tblStyleColBandSize w:val="1"/>
      <w:tblInd w:w="0" w:type="dxa"/>
      <w:tblBorders>
        <w:bottom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58" w:customStyle="1">
    <w:name w:val="Grid Table 3 - Accent 4"/>
    <w:basedOn w:val="805"/>
    <w:uiPriority w:val="99"/>
    <w:tblPr>
      <w:tblStyleRowBandSize w:val="1"/>
      <w:tblStyleColBandSize w:val="1"/>
      <w:tblInd w:w="0" w:type="dxa"/>
      <w:tblBorders>
        <w:bottom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59" w:customStyle="1">
    <w:name w:val="Grid Table 3 - Accent 5"/>
    <w:basedOn w:val="805"/>
    <w:uiPriority w:val="99"/>
    <w:tblPr>
      <w:tblStyleRowBandSize w:val="1"/>
      <w:tblStyleColBandSize w:val="1"/>
      <w:tblInd w:w="0" w:type="dxa"/>
      <w:tblBorders>
        <w:bottom w:val="single" w:color="4BACC6" w:themeColor="accent5" w:sz="4" w:space="0"/>
        <w:insideH w:val="single" w:color="4BACC6" w:themeColor="accent5" w:sz="4" w:space="0"/>
        <w:insideV w:val="single" w:color="4BACC6" w:themeColor="accent5" w:sz="4" w:space="0"/>
      </w:tblBorders>
      <w:tblCellMar>
        <w:left w:w="108" w:type="dxa"/>
        <w:top w:w="0" w:type="dxa"/>
        <w:right w:w="108" w:type="dxa"/>
        <w:bottom w:w="0" w:type="dxa"/>
      </w:tblCellMar>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60" w:customStyle="1">
    <w:name w:val="Grid Table 3 - Accent 6"/>
    <w:basedOn w:val="805"/>
    <w:uiPriority w:val="99"/>
    <w:tblPr>
      <w:tblStyleRowBandSize w:val="1"/>
      <w:tblStyleColBandSize w:val="1"/>
      <w:tblInd w:w="0" w:type="dxa"/>
      <w:tblBorders>
        <w:bottom w:val="single" w:color="F79646" w:themeColor="accent6" w:sz="4" w:space="0"/>
        <w:insideH w:val="single" w:color="F79646" w:themeColor="accent6" w:sz="4" w:space="0"/>
        <w:insideV w:val="single" w:color="F79646" w:themeColor="accent6" w:sz="4" w:space="0"/>
      </w:tblBorders>
      <w:tblCellMar>
        <w:left w:w="108" w:type="dxa"/>
        <w:top w:w="0" w:type="dxa"/>
        <w:right w:w="108" w:type="dxa"/>
        <w:bottom w:w="0" w:type="dxa"/>
      </w:tblCellMar>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861" w:customStyle="1">
    <w:name w:val="Grid Table 4"/>
    <w:basedOn w:val="805"/>
    <w:uiPriority w:val="59"/>
    <w:tblPr>
      <w:tblStyleRowBandSize w:val="1"/>
      <w:tblStyleColBandSize w:val="1"/>
      <w:tblInd w:w="0" w:type="dxa"/>
      <w:tblBorders>
        <w:top w:val="single" w:color="6F6F6F" w:themeColor="text1" w:themeTint="90" w:sz="4" w:space="0"/>
        <w:left w:val="single" w:color="6F6F6F" w:themeColor="text1" w:themeTint="90" w:sz="4" w:space="0"/>
        <w:bottom w:val="single" w:color="6F6F6F" w:themeColor="text1" w:themeTint="90" w:sz="4" w:space="0"/>
        <w:right w:val="single" w:color="6F6F6F" w:themeColor="text1" w:themeTint="90" w:sz="4" w:space="0"/>
        <w:insideH w:val="single" w:color="6F6F6F" w:themeColor="text1" w:themeTint="90" w:sz="4" w:space="0"/>
        <w:insideV w:val="single" w:color="6F6F6F" w:themeColor="text1" w:themeTint="90" w:sz="4" w:space="0"/>
      </w:tblBorders>
      <w:tblCellMar>
        <w:left w:w="108" w:type="dxa"/>
        <w:top w:w="0" w:type="dxa"/>
        <w:right w:w="108" w:type="dxa"/>
        <w:bottom w:w="0" w:type="dxa"/>
      </w:tblCellMar>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000000"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862" w:customStyle="1">
    <w:name w:val="Grid Table 4 - Accent 1"/>
    <w:basedOn w:val="805"/>
    <w:uiPriority w:val="59"/>
    <w:tblPr>
      <w:tblStyleRowBandSize w:val="1"/>
      <w:tblStyleColBandSize w:val="1"/>
      <w:tblInd w:w="0" w:type="dxa"/>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CellMar>
        <w:left w:w="108" w:type="dxa"/>
        <w:top w:w="0" w:type="dxa"/>
        <w:right w:w="108" w:type="dxa"/>
        <w:bottom w:w="0" w:type="dxa"/>
      </w:tblCellMar>
    </w:tblPr>
    <w:tblStylePr w:type="band1Horz">
      <w:rPr>
        <w:rFonts w:ascii="Arial" w:hAnsi="Arial"/>
        <w:color w:val="404040"/>
        <w:sz w:val="22"/>
      </w:rPr>
      <w:tcPr>
        <w:shd w:val="clear" w:color="dce6f2" w:themeColor="accent1" w:themeTint="32" w:fill="dce6f2" w:themeFill="accent1" w:themeFillTint="32"/>
      </w:tcPr>
    </w:tblStylePr>
    <w:tblStylePr w:type="band1Vert">
      <w:rPr>
        <w:rFonts w:ascii="Arial" w:hAnsi="Arial"/>
        <w:color w:val="404040"/>
        <w:sz w:val="22"/>
      </w:rPr>
      <w:tcPr>
        <w:shd w:val="clear" w:color="dce6f2" w:themeColor="accent1" w:themeTint="32" w:fill="dce6f2" w:themeFill="accent1" w:themeFillTint="32"/>
      </w:tcPr>
    </w:tblStylePr>
    <w:tblStylePr w:type="firstCol">
      <w:rPr>
        <w:b/>
        <w:color w:val="404040"/>
      </w:rPr>
    </w:tblStylePr>
    <w:tblStylePr w:type="firstRow">
      <w:rPr>
        <w:rFonts w:ascii="Arial" w:hAnsi="Arial"/>
        <w:b/>
        <w:color w:val="ffffff"/>
        <w:sz w:val="22"/>
      </w:rPr>
      <w:tcPr>
        <w:shd w:val="clear" w:color="5d8ac2" w:themeColor="accent1" w:themeTint="EA" w:fill="5d8ac2" w:themeFill="accent1" w:themeFillTint="EA"/>
        <w:tcBorders>
          <w:top w:val="single" w:color="5D8AC2" w:themeColor="accent1" w:themeTint="EA" w:sz="4" w:space="0"/>
          <w:left w:val="single" w:color="5D8AC2" w:themeColor="accent1" w:themeTint="EA" w:sz="4" w:space="0"/>
          <w:bottom w:val="single" w:color="5D8AC2" w:themeColor="accent1" w:themeTint="EA" w:sz="4" w:space="0"/>
          <w:right w:val="single" w:color="5D8AC2" w:themeColor="accent1" w:themeTint="EA" w:sz="4" w:space="0"/>
        </w:tcBorders>
      </w:tcPr>
    </w:tblStylePr>
    <w:tblStylePr w:type="lastCol">
      <w:rPr>
        <w:b/>
        <w:color w:val="404040"/>
      </w:rPr>
    </w:tblStylePr>
    <w:tblStylePr w:type="lastRow">
      <w:rPr>
        <w:b/>
        <w:color w:val="404040"/>
      </w:rPr>
      <w:tcPr>
        <w:tcBorders>
          <w:top w:val="single" w:color="5D8AC2" w:themeColor="accent1" w:themeTint="EA" w:sz="4" w:space="0"/>
        </w:tcBorders>
      </w:tcPr>
    </w:tblStylePr>
  </w:style>
  <w:style w:type="table" w:styleId="863" w:customStyle="1">
    <w:name w:val="Grid Table 4 - Accent 2"/>
    <w:basedOn w:val="805"/>
    <w:uiPriority w:val="59"/>
    <w:tblPr>
      <w:tblStyleRowBandSize w:val="1"/>
      <w:tblStyleColBandSize w:val="1"/>
      <w:tblInd w:w="0" w:type="dxa"/>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insideV w:val="single" w:color="DB9B9A" w:themeColor="accent2" w:themeTint="90" w:sz="4" w:space="0"/>
      </w:tblBorders>
      <w:tblCellMar>
        <w:left w:w="108" w:type="dxa"/>
        <w:top w:w="0" w:type="dxa"/>
        <w:right w:w="108" w:type="dxa"/>
        <w:bottom w:w="0" w:type="dxa"/>
      </w:tblCellMar>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cBorders>
      </w:tcPr>
    </w:tblStylePr>
    <w:tblStylePr w:type="lastCol">
      <w:rPr>
        <w:b/>
        <w:color w:val="404040"/>
      </w:rPr>
    </w:tblStylePr>
    <w:tblStylePr w:type="lastRow">
      <w:rPr>
        <w:b/>
        <w:color w:val="404040"/>
      </w:rPr>
      <w:tcPr>
        <w:tcBorders>
          <w:top w:val="single" w:color="D99695" w:themeColor="accent2" w:themeTint="97" w:sz="4" w:space="0"/>
        </w:tcBorders>
      </w:tcPr>
    </w:tblStylePr>
  </w:style>
  <w:style w:type="table" w:styleId="864" w:customStyle="1">
    <w:name w:val="Grid Table 4 - Accent 3"/>
    <w:basedOn w:val="805"/>
    <w:uiPriority w:val="59"/>
    <w:tblPr>
      <w:tblStyleRowBandSize w:val="1"/>
      <w:tblStyleColBandSize w:val="1"/>
      <w:tblInd w:w="0" w:type="dxa"/>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CellMar>
        <w:left w:w="108" w:type="dxa"/>
        <w:top w:w="0" w:type="dxa"/>
        <w:right w:w="108" w:type="dxa"/>
        <w:bottom w:w="0" w:type="dxa"/>
      </w:tblCellMar>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rFonts w:ascii="Arial" w:hAnsi="Arial"/>
        <w:b/>
        <w:color w:val="ffffff"/>
        <w:sz w:val="22"/>
      </w:rPr>
      <w:tcPr>
        <w:shd w:val="clear" w:color="9abb59" w:themeColor="accent3" w:themeTint="FE" w:fill="9abb59" w:themeFill="accent3" w:themeFillTint="FE"/>
        <w:tc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tcBorders>
      </w:tcPr>
    </w:tblStylePr>
    <w:tblStylePr w:type="lastCol">
      <w:rPr>
        <w:b/>
        <w:color w:val="404040"/>
      </w:rPr>
    </w:tblStylePr>
    <w:tblStylePr w:type="lastRow">
      <w:rPr>
        <w:b/>
        <w:color w:val="404040"/>
      </w:rPr>
      <w:tcPr>
        <w:tcBorders>
          <w:top w:val="single" w:color="9ABB59" w:themeColor="accent3" w:themeTint="FE" w:sz="4" w:space="0"/>
        </w:tcBorders>
      </w:tcPr>
    </w:tblStylePr>
  </w:style>
  <w:style w:type="table" w:styleId="865" w:customStyle="1">
    <w:name w:val="Grid Table 4 - Accent 4"/>
    <w:basedOn w:val="805"/>
    <w:uiPriority w:val="59"/>
    <w:tblPr>
      <w:tblStyleRowBandSize w:val="1"/>
      <w:tblStyleColBandSize w:val="1"/>
      <w:tblInd w:w="0" w:type="dxa"/>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CellMar>
        <w:left w:w="108" w:type="dxa"/>
        <w:top w:w="0" w:type="dxa"/>
        <w:right w:w="108" w:type="dxa"/>
        <w:bottom w:w="0" w:type="dxa"/>
      </w:tblCellMar>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tcPr>
    </w:tblStylePr>
    <w:tblStylePr w:type="lastCol">
      <w:rPr>
        <w:b/>
        <w:color w:val="404040"/>
      </w:rPr>
    </w:tblStylePr>
    <w:tblStylePr w:type="lastRow">
      <w:rPr>
        <w:b/>
        <w:color w:val="404040"/>
      </w:rPr>
      <w:tcPr>
        <w:tcBorders>
          <w:top w:val="single" w:color="B2A1C6" w:themeColor="accent4" w:themeTint="9A" w:sz="4" w:space="0"/>
        </w:tcBorders>
      </w:tcPr>
    </w:tblStylePr>
  </w:style>
  <w:style w:type="table" w:styleId="866" w:customStyle="1">
    <w:name w:val="Grid Table 4 - Accent 5"/>
    <w:basedOn w:val="805"/>
    <w:uiPriority w:val="59"/>
    <w:tblPr>
      <w:tblStyleRowBandSize w:val="1"/>
      <w:tblStyleColBandSize w:val="1"/>
      <w:tblInd w:w="0" w:type="dxa"/>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CellMar>
        <w:left w:w="108" w:type="dxa"/>
        <w:top w:w="0" w:type="dxa"/>
        <w:right w:w="108" w:type="dxa"/>
        <w:bottom w:w="0" w:type="dxa"/>
      </w:tblCellMar>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4bacc6" w:themeColor="accent5" w:fill="4bacc6" w:themeFill="accent5"/>
        <w:tcBorders>
          <w:top w:val="single" w:color="4BACC6" w:themeColor="accent5" w:sz="4" w:space="0"/>
          <w:left w:val="single" w:color="4BACC6" w:themeColor="accent5" w:sz="4" w:space="0"/>
          <w:bottom w:val="single" w:color="4BACC6" w:themeColor="accent5" w:sz="4" w:space="0"/>
          <w:right w:val="single" w:color="4BACC6" w:themeColor="accent5" w:sz="4" w:space="0"/>
        </w:tcBorders>
      </w:tcPr>
    </w:tblStylePr>
    <w:tblStylePr w:type="lastCol">
      <w:rPr>
        <w:b/>
        <w:color w:val="404040"/>
      </w:rPr>
    </w:tblStylePr>
    <w:tblStylePr w:type="lastRow">
      <w:rPr>
        <w:b/>
        <w:color w:val="404040"/>
      </w:rPr>
      <w:tcPr>
        <w:tcBorders>
          <w:top w:val="single" w:color="4BACC6" w:themeColor="accent5" w:sz="4" w:space="0"/>
        </w:tcBorders>
      </w:tcPr>
    </w:tblStylePr>
  </w:style>
  <w:style w:type="table" w:styleId="867" w:customStyle="1">
    <w:name w:val="Grid Table 4 - Accent 6"/>
    <w:basedOn w:val="805"/>
    <w:uiPriority w:val="59"/>
    <w:tblPr>
      <w:tblStyleRowBandSize w:val="1"/>
      <w:tblStyleColBandSize w:val="1"/>
      <w:tblInd w:w="0" w:type="dxa"/>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CellMar>
        <w:left w:w="108" w:type="dxa"/>
        <w:top w:w="0" w:type="dxa"/>
        <w:right w:w="108" w:type="dxa"/>
        <w:bottom w:w="0" w:type="dxa"/>
      </w:tblCellMar>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79646" w:themeColor="accent6" w:fill="f79646" w:themeFill="accent6"/>
        <w:tcBorders>
          <w:top w:val="single" w:color="F79646" w:themeColor="accent6" w:sz="4" w:space="0"/>
          <w:left w:val="single" w:color="F79646" w:themeColor="accent6" w:sz="4" w:space="0"/>
          <w:bottom w:val="single" w:color="F79646" w:themeColor="accent6" w:sz="4" w:space="0"/>
          <w:right w:val="single" w:color="F79646" w:themeColor="accent6" w:sz="4" w:space="0"/>
        </w:tcBorders>
      </w:tcPr>
    </w:tblStylePr>
    <w:tblStylePr w:type="lastCol">
      <w:rPr>
        <w:b/>
        <w:color w:val="404040"/>
      </w:rPr>
    </w:tblStylePr>
    <w:tblStylePr w:type="lastRow">
      <w:rPr>
        <w:b/>
        <w:color w:val="404040"/>
      </w:rPr>
      <w:tcPr>
        <w:tcBorders>
          <w:top w:val="single" w:color="F79646" w:themeColor="accent6" w:sz="4" w:space="0"/>
        </w:tcBorders>
      </w:tcPr>
    </w:tblStylePr>
  </w:style>
  <w:style w:type="table" w:styleId="868" w:customStyle="1">
    <w:name w:val="Grid Table 5 Dark"/>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bfbfbf" w:themeColor="text1" w:themeTint="40" w:fill="bfbfbf" w:themeFill="text1" w:themeFillTint="40"/>
      <w:tblCellMar>
        <w:left w:w="108" w:type="dxa"/>
        <w:top w:w="0" w:type="dxa"/>
        <w:right w:w="108" w:type="dxa"/>
        <w:bottom w:w="0" w:type="dxa"/>
      </w:tblCellMar>
    </w:tblPr>
    <w:tblStylePr w:type="band1Horz">
      <w:tcPr>
        <w:shd w:val="clear" w:color="8a8a8a" w:themeColor="text1" w:themeTint="75" w:fill="8a8a8a" w:themeFill="text1" w:themeFillTint="75"/>
      </w:tcPr>
    </w:tblStylePr>
    <w:tblStylePr w:type="band1Vert">
      <w:tcPr>
        <w:shd w:val="clear" w:color="8a8a8a" w:themeColor="text1" w:themeTint="75" w:fill="8a8a8a" w:themeFill="text1" w:themeFillTint="75"/>
      </w:tcPr>
    </w:tblStylePr>
    <w:tblStylePr w:type="firstCol">
      <w:rPr>
        <w:rFonts w:ascii="Arial" w:hAnsi="Arial"/>
        <w:b/>
        <w:color w:val="ffffff"/>
        <w:sz w:val="22"/>
      </w:rPr>
      <w:tcPr>
        <w:shd w:val="clear" w:color="000000" w:themeColor="text1" w:fill="000000" w:themeFill="text1"/>
      </w:tcPr>
    </w:tblStylePr>
    <w:tblStylePr w:type="firstRow">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lastRow">
      <w:rPr>
        <w:rFonts w:ascii="Arial" w:hAnsi="Arial"/>
        <w:b/>
        <w:color w:val="ffffff"/>
        <w:sz w:val="22"/>
      </w:rPr>
      <w:tcPr>
        <w:shd w:val="clear" w:color="000000" w:themeColor="text1" w:fill="000000" w:themeFill="text1"/>
        <w:tcBorders>
          <w:top w:val="single" w:color="FFFFFF" w:themeColor="light1" w:sz="4" w:space="0"/>
        </w:tcBorders>
      </w:tcPr>
    </w:tblStylePr>
  </w:style>
  <w:style w:type="table" w:styleId="869" w:customStyle="1">
    <w:name w:val="Grid Table 5 Dark- Accent 1"/>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5f1" w:themeColor="accent1" w:themeTint="34" w:fill="dae5f1" w:themeFill="accent1" w:themeFillTint="34"/>
      <w:tblCellMar>
        <w:left w:w="108" w:type="dxa"/>
        <w:top w:w="0" w:type="dxa"/>
        <w:right w:w="108" w:type="dxa"/>
        <w:bottom w:w="0" w:type="dxa"/>
      </w:tblCellMar>
    </w:tblPr>
    <w:tblStylePr w:type="band1Horz">
      <w:tcPr>
        <w:shd w:val="clear" w:color="aec4e0" w:themeColor="accent1" w:themeTint="75" w:fill="aec4e0" w:themeFill="accent1" w:themeFillTint="75"/>
      </w:tcPr>
    </w:tblStylePr>
    <w:tblStylePr w:type="band1Vert">
      <w:tcPr>
        <w:shd w:val="clear" w:color="aec4e0" w:themeColor="accent1" w:themeTint="75" w:fill="aec4e0" w:themeFill="accent1" w:themeFillTint="75"/>
      </w:tcPr>
    </w:tblStylePr>
    <w:tblStylePr w:type="firstCol">
      <w:rPr>
        <w:rFonts w:ascii="Arial" w:hAnsi="Arial"/>
        <w:b/>
        <w:color w:val="ffffff"/>
        <w:sz w:val="22"/>
      </w:rPr>
      <w:tcPr>
        <w:shd w:val="clear" w:color="4f81bd" w:themeColor="accent1" w:fill="4f81bd" w:themeFill="accent1"/>
      </w:tcPr>
    </w:tblStylePr>
    <w:tblStylePr w:type="firstRow">
      <w:rPr>
        <w:rFonts w:ascii="Arial" w:hAnsi="Arial"/>
        <w:b/>
        <w:color w:val="ffffff"/>
        <w:sz w:val="22"/>
      </w:rPr>
      <w:tcPr>
        <w:shd w:val="clear" w:color="4f81bd" w:themeColor="accent1" w:fill="4f81bd" w:themeFill="accent1"/>
      </w:tcPr>
    </w:tblStylePr>
    <w:tblStylePr w:type="lastCol">
      <w:rPr>
        <w:rFonts w:ascii="Arial" w:hAnsi="Arial"/>
        <w:b/>
        <w:color w:val="ffffff"/>
        <w:sz w:val="22"/>
      </w:rPr>
      <w:tcPr>
        <w:shd w:val="clear" w:color="4f81bd" w:themeColor="accent1" w:fill="4f81bd" w:themeFill="accent1"/>
      </w:tcPr>
    </w:tblStylePr>
    <w:tblStylePr w:type="lastRow">
      <w:rPr>
        <w:rFonts w:ascii="Arial" w:hAnsi="Arial"/>
        <w:b/>
        <w:color w:val="ffffff"/>
        <w:sz w:val="22"/>
      </w:rPr>
      <w:tcPr>
        <w:shd w:val="clear" w:color="4f81bd" w:themeColor="accent1" w:fill="4f81bd" w:themeFill="accent1"/>
        <w:tcBorders>
          <w:top w:val="single" w:color="FFFFFF" w:themeColor="light1" w:sz="4" w:space="0"/>
        </w:tcBorders>
      </w:tcPr>
    </w:tblStylePr>
  </w:style>
  <w:style w:type="table" w:styleId="870" w:customStyle="1">
    <w:name w:val="Grid Table 5 Dark - Accent 2"/>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2dcdc" w:themeColor="accent2" w:themeTint="32" w:fill="f2dcdc" w:themeFill="accent2" w:themeFillTint="32"/>
      <w:tblCellMar>
        <w:left w:w="108" w:type="dxa"/>
        <w:top w:w="0" w:type="dxa"/>
        <w:right w:w="108" w:type="dxa"/>
        <w:bottom w:w="0" w:type="dxa"/>
      </w:tblCellMar>
    </w:tblPr>
    <w:tblStylePr w:type="band1Horz">
      <w:tcPr>
        <w:shd w:val="clear" w:color="e2aead" w:themeColor="accent2" w:themeTint="75" w:fill="e2aead" w:themeFill="accent2" w:themeFillTint="75"/>
      </w:tcPr>
    </w:tblStylePr>
    <w:tblStylePr w:type="band1Vert">
      <w:tcPr>
        <w:shd w:val="clear" w:color="e2aead" w:themeColor="accent2" w:themeTint="75" w:fill="e2aead" w:themeFill="accent2" w:themeFillTint="75"/>
      </w:tcPr>
    </w:tblStylePr>
    <w:tblStylePr w:type="firstCol">
      <w:rPr>
        <w:rFonts w:ascii="Arial" w:hAnsi="Arial"/>
        <w:b/>
        <w:color w:val="ffffff"/>
        <w:sz w:val="22"/>
      </w:rPr>
      <w:tcPr>
        <w:shd w:val="clear" w:color="c0504d" w:themeColor="accent2" w:fill="c0504d" w:themeFill="accent2"/>
      </w:tcPr>
    </w:tblStylePr>
    <w:tblStylePr w:type="firstRow">
      <w:rPr>
        <w:rFonts w:ascii="Arial" w:hAnsi="Arial"/>
        <w:b/>
        <w:color w:val="ffffff"/>
        <w:sz w:val="22"/>
      </w:rPr>
      <w:tcPr>
        <w:shd w:val="clear" w:color="c0504d" w:themeColor="accent2" w:fill="c0504d" w:themeFill="accent2"/>
      </w:tcPr>
    </w:tblStylePr>
    <w:tblStylePr w:type="lastCol">
      <w:rPr>
        <w:rFonts w:ascii="Arial" w:hAnsi="Arial"/>
        <w:b/>
        <w:color w:val="ffffff"/>
        <w:sz w:val="22"/>
      </w:rPr>
      <w:tcPr>
        <w:shd w:val="clear" w:color="c0504d" w:themeColor="accent2" w:fill="c0504d" w:themeFill="accent2"/>
      </w:tcPr>
    </w:tblStylePr>
    <w:tblStylePr w:type="lastRow">
      <w:rPr>
        <w:rFonts w:ascii="Arial" w:hAnsi="Arial"/>
        <w:b/>
        <w:color w:val="ffffff"/>
        <w:sz w:val="22"/>
      </w:rPr>
      <w:tcPr>
        <w:shd w:val="clear" w:color="c0504d" w:themeColor="accent2" w:fill="c0504d" w:themeFill="accent2"/>
        <w:tcBorders>
          <w:top w:val="single" w:color="FFFFFF" w:themeColor="light1" w:sz="4" w:space="0"/>
        </w:tcBorders>
      </w:tcPr>
    </w:tblStylePr>
  </w:style>
  <w:style w:type="table" w:styleId="871" w:customStyle="1">
    <w:name w:val="Grid Table 5 Dark - Accent 3"/>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af1dc" w:themeColor="accent3" w:themeTint="34" w:fill="eaf1dc" w:themeFill="accent3" w:themeFillTint="34"/>
      <w:tblCellMar>
        <w:left w:w="108" w:type="dxa"/>
        <w:top w:w="0" w:type="dxa"/>
        <w:right w:w="108" w:type="dxa"/>
        <w:bottom w:w="0" w:type="dxa"/>
      </w:tblCellMar>
    </w:tblPr>
    <w:tblStylePr w:type="band1Horz">
      <w:tcPr>
        <w:shd w:val="clear" w:color="d0dfb2" w:themeColor="accent3" w:themeTint="75" w:fill="d0dfb2" w:themeFill="accent3" w:themeFillTint="75"/>
      </w:tcPr>
    </w:tblStylePr>
    <w:tblStylePr w:type="band1Vert">
      <w:tcPr>
        <w:shd w:val="clear" w:color="d0dfb2" w:themeColor="accent3" w:themeTint="75" w:fill="d0dfb2" w:themeFill="accent3" w:themeFillTint="75"/>
      </w:tcPr>
    </w:tblStylePr>
    <w:tblStylePr w:type="firstCol">
      <w:rPr>
        <w:rFonts w:ascii="Arial" w:hAnsi="Arial"/>
        <w:b/>
        <w:color w:val="ffffff"/>
        <w:sz w:val="22"/>
      </w:rPr>
      <w:tcPr>
        <w:shd w:val="clear" w:color="9bbb59" w:themeColor="accent3" w:fill="9bbb59" w:themeFill="accent3"/>
      </w:tcPr>
    </w:tblStylePr>
    <w:tblStylePr w:type="firstRow">
      <w:rPr>
        <w:rFonts w:ascii="Arial" w:hAnsi="Arial"/>
        <w:b/>
        <w:color w:val="ffffff"/>
        <w:sz w:val="22"/>
      </w:rPr>
      <w:tcPr>
        <w:shd w:val="clear" w:color="9bbb59" w:themeColor="accent3" w:fill="9bbb59" w:themeFill="accent3"/>
      </w:tcPr>
    </w:tblStylePr>
    <w:tblStylePr w:type="lastCol">
      <w:rPr>
        <w:rFonts w:ascii="Arial" w:hAnsi="Arial"/>
        <w:b/>
        <w:color w:val="ffffff"/>
        <w:sz w:val="22"/>
      </w:rPr>
      <w:tcPr>
        <w:shd w:val="clear" w:color="9bbb59" w:themeColor="accent3" w:fill="9bbb59" w:themeFill="accent3"/>
      </w:tcPr>
    </w:tblStylePr>
    <w:tblStylePr w:type="lastRow">
      <w:rPr>
        <w:rFonts w:ascii="Arial" w:hAnsi="Arial"/>
        <w:b/>
        <w:color w:val="ffffff"/>
        <w:sz w:val="22"/>
      </w:rPr>
      <w:tcPr>
        <w:shd w:val="clear" w:color="9bbb59" w:themeColor="accent3" w:fill="9bbb59" w:themeFill="accent3"/>
        <w:tcBorders>
          <w:top w:val="single" w:color="FFFFFF" w:themeColor="light1" w:sz="4" w:space="0"/>
        </w:tcBorders>
      </w:tcPr>
    </w:tblStylePr>
  </w:style>
  <w:style w:type="table" w:styleId="872" w:customStyle="1">
    <w:name w:val="Grid Table 5 Dark- Accent 4"/>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5dfec" w:themeColor="accent4" w:themeTint="34" w:fill="e5dfec" w:themeFill="accent4" w:themeFillTint="34"/>
      <w:tblCellMar>
        <w:left w:w="108" w:type="dxa"/>
        <w:top w:w="0" w:type="dxa"/>
        <w:right w:w="108" w:type="dxa"/>
        <w:bottom w:w="0" w:type="dxa"/>
      </w:tblCellMar>
    </w:tblPr>
    <w:tblStylePr w:type="band1Horz">
      <w:tcPr>
        <w:shd w:val="clear" w:color="c4b7d4" w:themeColor="accent4" w:themeTint="75" w:fill="c4b7d4" w:themeFill="accent4" w:themeFillTint="75"/>
      </w:tcPr>
    </w:tblStylePr>
    <w:tblStylePr w:type="band1Vert">
      <w:tcPr>
        <w:shd w:val="clear" w:color="c4b7d4" w:themeColor="accent4" w:themeTint="75" w:fill="c4b7d4" w:themeFill="accent4" w:themeFillTint="75"/>
      </w:tcPr>
    </w:tblStylePr>
    <w:tblStylePr w:type="firstCol">
      <w:rPr>
        <w:rFonts w:ascii="Arial" w:hAnsi="Arial"/>
        <w:b/>
        <w:color w:val="ffffff"/>
        <w:sz w:val="22"/>
      </w:rPr>
      <w:tcPr>
        <w:shd w:val="clear" w:color="8064a2" w:themeColor="accent4" w:fill="8064a2" w:themeFill="accent4"/>
      </w:tcPr>
    </w:tblStylePr>
    <w:tblStylePr w:type="firstRow">
      <w:rPr>
        <w:rFonts w:ascii="Arial" w:hAnsi="Arial"/>
        <w:b/>
        <w:color w:val="ffffff"/>
        <w:sz w:val="22"/>
      </w:rPr>
      <w:tcPr>
        <w:shd w:val="clear" w:color="8064a2" w:themeColor="accent4" w:fill="8064a2" w:themeFill="accent4"/>
      </w:tcPr>
    </w:tblStylePr>
    <w:tblStylePr w:type="lastCol">
      <w:rPr>
        <w:rFonts w:ascii="Arial" w:hAnsi="Arial"/>
        <w:b/>
        <w:color w:val="ffffff"/>
        <w:sz w:val="22"/>
      </w:rPr>
      <w:tcPr>
        <w:shd w:val="clear" w:color="8064a2" w:themeColor="accent4" w:fill="8064a2" w:themeFill="accent4"/>
      </w:tcPr>
    </w:tblStylePr>
    <w:tblStylePr w:type="lastRow">
      <w:rPr>
        <w:rFonts w:ascii="Arial" w:hAnsi="Arial"/>
        <w:b/>
        <w:color w:val="ffffff"/>
        <w:sz w:val="22"/>
      </w:rPr>
      <w:tcPr>
        <w:shd w:val="clear" w:color="8064a2" w:themeColor="accent4" w:fill="8064a2" w:themeFill="accent4"/>
        <w:tcBorders>
          <w:top w:val="single" w:color="FFFFFF" w:themeColor="light1" w:sz="4" w:space="0"/>
        </w:tcBorders>
      </w:tcPr>
    </w:tblStylePr>
  </w:style>
  <w:style w:type="table" w:styleId="873" w:customStyle="1">
    <w:name w:val="Grid Table 5 Dark - Accent 5"/>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ef3" w:themeColor="accent5" w:themeTint="34" w:fill="daeef3" w:themeFill="accent5" w:themeFillTint="34"/>
      <w:tblCellMar>
        <w:left w:w="108" w:type="dxa"/>
        <w:top w:w="0" w:type="dxa"/>
        <w:right w:w="108" w:type="dxa"/>
        <w:bottom w:w="0" w:type="dxa"/>
      </w:tblCellMar>
    </w:tblPr>
    <w:tblStylePr w:type="band1Horz">
      <w:tcPr>
        <w:shd w:val="clear" w:color="acd8e4" w:themeColor="accent5" w:themeTint="75" w:fill="acd8e4" w:themeFill="accent5" w:themeFillTint="75"/>
      </w:tcPr>
    </w:tblStylePr>
    <w:tblStylePr w:type="band1Vert">
      <w:tcPr>
        <w:shd w:val="clear" w:color="acd8e4" w:themeColor="accent5" w:themeTint="75" w:fill="acd8e4" w:themeFill="accent5" w:themeFillTint="75"/>
      </w:tcPr>
    </w:tblStylePr>
    <w:tblStylePr w:type="firstCol">
      <w:rPr>
        <w:rFonts w:ascii="Arial" w:hAnsi="Arial"/>
        <w:b/>
        <w:color w:val="ffffff"/>
        <w:sz w:val="22"/>
      </w:rPr>
      <w:tcPr>
        <w:shd w:val="clear" w:color="4bacc6" w:themeColor="accent5" w:fill="4bacc6" w:themeFill="accent5"/>
      </w:tcPr>
    </w:tblStylePr>
    <w:tblStylePr w:type="firstRow">
      <w:rPr>
        <w:rFonts w:ascii="Arial" w:hAnsi="Arial"/>
        <w:b/>
        <w:color w:val="ffffff"/>
        <w:sz w:val="22"/>
      </w:rPr>
      <w:tcPr>
        <w:shd w:val="clear" w:color="4bacc6" w:themeColor="accent5" w:fill="4bacc6" w:themeFill="accent5"/>
      </w:tcPr>
    </w:tblStylePr>
    <w:tblStylePr w:type="lastCol">
      <w:rPr>
        <w:rFonts w:ascii="Arial" w:hAnsi="Arial"/>
        <w:b/>
        <w:color w:val="ffffff"/>
        <w:sz w:val="22"/>
      </w:rPr>
      <w:tcPr>
        <w:shd w:val="clear" w:color="4bacc6" w:themeColor="accent5" w:fill="4bacc6" w:themeFill="accent5"/>
      </w:tcPr>
    </w:tblStylePr>
    <w:tblStylePr w:type="lastRow">
      <w:rPr>
        <w:rFonts w:ascii="Arial" w:hAnsi="Arial"/>
        <w:b/>
        <w:color w:val="ffffff"/>
        <w:sz w:val="22"/>
      </w:rPr>
      <w:tcPr>
        <w:shd w:val="clear" w:color="4bacc6" w:themeColor="accent5" w:fill="4bacc6" w:themeFill="accent5"/>
        <w:tcBorders>
          <w:top w:val="single" w:color="FFFFFF" w:themeColor="light1" w:sz="4" w:space="0"/>
        </w:tcBorders>
      </w:tcPr>
    </w:tblStylePr>
  </w:style>
  <w:style w:type="table" w:styleId="874" w:customStyle="1">
    <w:name w:val="Grid Table 5 Dark - Accent 6"/>
    <w:basedOn w:val="805"/>
    <w:uiPriority w:val="99"/>
    <w:tblPr>
      <w:tblStyleRowBandSize w:val="1"/>
      <w:tblStyleColBandSize w:val="1"/>
      <w:tblInd w:w="0" w:type="dxa"/>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de9d8" w:themeColor="accent6" w:themeTint="34" w:fill="fde9d8" w:themeFill="accent6" w:themeFillTint="34"/>
      <w:tblCellMar>
        <w:left w:w="108" w:type="dxa"/>
        <w:top w:w="0" w:type="dxa"/>
        <w:right w:w="108" w:type="dxa"/>
        <w:bottom w:w="0" w:type="dxa"/>
      </w:tblCellMar>
    </w:tblPr>
    <w:tblStylePr w:type="band1Horz">
      <w:tcPr>
        <w:shd w:val="clear" w:color="fbceaa" w:themeColor="accent6" w:themeTint="75" w:fill="fbceaa" w:themeFill="accent6" w:themeFillTint="75"/>
      </w:tcPr>
    </w:tblStylePr>
    <w:tblStylePr w:type="band1Vert">
      <w:tcPr>
        <w:shd w:val="clear" w:color="fbceaa" w:themeColor="accent6" w:themeTint="75" w:fill="fbceaa" w:themeFill="accent6" w:themeFillTint="75"/>
      </w:tcPr>
    </w:tblStylePr>
    <w:tblStylePr w:type="firstCol">
      <w:rPr>
        <w:rFonts w:ascii="Arial" w:hAnsi="Arial"/>
        <w:b/>
        <w:color w:val="ffffff"/>
        <w:sz w:val="22"/>
      </w:rPr>
      <w:tcPr>
        <w:shd w:val="clear" w:color="f79646" w:themeColor="accent6" w:fill="f79646" w:themeFill="accent6"/>
      </w:tcPr>
    </w:tblStylePr>
    <w:tblStylePr w:type="firstRow">
      <w:rPr>
        <w:rFonts w:ascii="Arial" w:hAnsi="Arial"/>
        <w:b/>
        <w:color w:val="ffffff"/>
        <w:sz w:val="22"/>
      </w:rPr>
      <w:tcPr>
        <w:shd w:val="clear" w:color="f79646" w:themeColor="accent6" w:fill="f79646" w:themeFill="accent6"/>
      </w:tcPr>
    </w:tblStylePr>
    <w:tblStylePr w:type="lastCol">
      <w:rPr>
        <w:rFonts w:ascii="Arial" w:hAnsi="Arial"/>
        <w:b/>
        <w:color w:val="ffffff"/>
        <w:sz w:val="22"/>
      </w:rPr>
      <w:tcPr>
        <w:shd w:val="clear" w:color="f79646" w:themeColor="accent6" w:fill="f79646" w:themeFill="accent6"/>
      </w:tcPr>
    </w:tblStylePr>
    <w:tblStylePr w:type="lastRow">
      <w:rPr>
        <w:rFonts w:ascii="Arial" w:hAnsi="Arial"/>
        <w:b/>
        <w:color w:val="ffffff"/>
        <w:sz w:val="22"/>
      </w:rPr>
      <w:tcPr>
        <w:shd w:val="clear" w:color="f79646" w:themeColor="accent6" w:fill="f79646" w:themeFill="accent6"/>
        <w:tcBorders>
          <w:top w:val="single" w:color="FFFFFF" w:themeColor="light1" w:sz="4" w:space="0"/>
        </w:tcBorders>
      </w:tcPr>
    </w:tblStylePr>
  </w:style>
  <w:style w:type="table" w:styleId="875" w:customStyle="1">
    <w:name w:val="Grid Table 6 Colorful"/>
    <w:basedOn w:val="805"/>
    <w:uiPriority w:val="99"/>
    <w:tblPr>
      <w:tblStyleRowBandSize w:val="1"/>
      <w:tblStyleColBandSize w:val="1"/>
      <w:tblInd w:w="0" w:type="dxa"/>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CellMar>
        <w:left w:w="108" w:type="dxa"/>
        <w:top w:w="0" w:type="dxa"/>
        <w:right w:w="108" w:type="dxa"/>
        <w:bottom w:w="0" w:type="dxa"/>
      </w:tblCellMar>
    </w:tblPr>
    <w:tblStylePr w:type="band1Horz">
      <w:rPr>
        <w:rFonts w:ascii="Arial" w:hAnsi="Arial"/>
        <w:color w:val="7f7f7f" w:themeColor="text1" w:themeTint="80" w:themeShade="95"/>
        <w:sz w:val="22"/>
      </w:rPr>
      <w:tcPr>
        <w:shd w:val="clear" w:color="cbcbcb" w:themeColor="text1" w:themeTint="34" w:fill="cbcbcb" w:themeFill="text1" w:themeFillTint="34"/>
      </w:tcPr>
    </w:tblStylePr>
    <w:tblStylePr w:type="band1Vert">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tblStylePr w:type="firstCol">
      <w:rPr>
        <w:b/>
        <w:color w:val="7f7f7f" w:themeColor="text1" w:themeTint="80" w:themeShade="95"/>
      </w:rPr>
    </w:tblStylePr>
    <w:tblStylePr w:type="firstRow">
      <w:rPr>
        <w:b/>
        <w:color w:val="7f7f7f" w:themeColor="text1" w:themeTint="80" w:themeShade="95"/>
      </w:rPr>
      <w:tcPr>
        <w:tcBorders>
          <w:bottom w:val="single" w:color="7F7F7F" w:themeColor="text1" w:themeTint="80" w:sz="12" w:space="0"/>
        </w:tcBorders>
      </w:tcPr>
    </w:tblStylePr>
    <w:tblStylePr w:type="lastCol">
      <w:rPr>
        <w:b/>
        <w:color w:val="7f7f7f" w:themeColor="text1" w:themeTint="80" w:themeShade="95"/>
      </w:rPr>
    </w:tblStylePr>
    <w:tblStylePr w:type="lastRow">
      <w:rPr>
        <w:b/>
        <w:color w:val="7f7f7f" w:themeColor="text1" w:themeTint="80" w:themeShade="95"/>
      </w:rPr>
    </w:tblStylePr>
  </w:style>
  <w:style w:type="table" w:styleId="876" w:customStyle="1">
    <w:name w:val="Grid Table 6 Colorful - Accent 1"/>
    <w:basedOn w:val="805"/>
    <w:uiPriority w:val="99"/>
    <w:tblPr>
      <w:tblStyleRowBandSize w:val="1"/>
      <w:tblStyleColBandSize w:val="1"/>
      <w:tblInd w:w="0" w:type="dxa"/>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CellMar>
        <w:left w:w="108" w:type="dxa"/>
        <w:top w:w="0" w:type="dxa"/>
        <w:right w:w="108" w:type="dxa"/>
        <w:bottom w:w="0" w:type="dxa"/>
      </w:tblCellMar>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b/>
        <w:color w:val="a6bfdd" w:themeColor="accent1" w:themeTint="80" w:themeShade="95"/>
      </w:rPr>
    </w:tblStylePr>
    <w:tblStylePr w:type="firstRow">
      <w:rPr>
        <w:b/>
        <w:color w:val="a6bfdd" w:themeColor="accent1" w:themeTint="80" w:themeShade="95"/>
      </w:rPr>
      <w:tcPr>
        <w:tcBorders>
          <w:bottom w:val="single" w:color="A6BFDD" w:themeColor="accent1" w:themeTint="80" w:sz="12" w:space="0"/>
        </w:tcBorders>
      </w:tcPr>
    </w:tblStylePr>
    <w:tblStylePr w:type="lastCol">
      <w:rPr>
        <w:b/>
        <w:color w:val="a6bfdd" w:themeColor="accent1" w:themeTint="80" w:themeShade="95"/>
      </w:rPr>
    </w:tblStylePr>
    <w:tblStylePr w:type="lastRow">
      <w:rPr>
        <w:b/>
        <w:color w:val="a6bfdd" w:themeColor="accent1" w:themeTint="80" w:themeShade="95"/>
      </w:rPr>
    </w:tblStylePr>
  </w:style>
  <w:style w:type="table" w:styleId="877" w:customStyle="1">
    <w:name w:val="Grid Table 6 Colorful - Accent 2"/>
    <w:basedOn w:val="805"/>
    <w:uiPriority w:val="99"/>
    <w:tblPr>
      <w:tblStyleRowBandSize w:val="1"/>
      <w:tblStyleColBandSize w:val="1"/>
      <w:tblInd w:w="0" w:type="dxa"/>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12" w:space="0"/>
        </w:tcBorders>
      </w:tcPr>
    </w:tblStylePr>
    <w:tblStylePr w:type="lastCol">
      <w:rPr>
        <w:b/>
        <w:color w:val="d99695" w:themeColor="accent2" w:themeTint="97" w:themeShade="95"/>
      </w:rPr>
    </w:tblStylePr>
    <w:tblStylePr w:type="lastRow">
      <w:rPr>
        <w:b/>
        <w:color w:val="d99695" w:themeColor="accent2" w:themeTint="97" w:themeShade="95"/>
      </w:rPr>
    </w:tblStylePr>
  </w:style>
  <w:style w:type="table" w:styleId="878" w:customStyle="1">
    <w:name w:val="Grid Table 6 Colorful - Accent 3"/>
    <w:basedOn w:val="805"/>
    <w:uiPriority w:val="99"/>
    <w:tblPr>
      <w:tblStyleRowBandSize w:val="1"/>
      <w:tblStyleColBandSize w:val="1"/>
      <w:tblInd w:w="0" w:type="dxa"/>
      <w:tbl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b/>
        <w:color w:val="9abb59" w:themeColor="accent3" w:themeTint="FE" w:themeShade="95"/>
      </w:rPr>
    </w:tblStylePr>
    <w:tblStylePr w:type="firstRow">
      <w:rPr>
        <w:b/>
        <w:color w:val="9abb59" w:themeColor="accent3" w:themeTint="FE" w:themeShade="95"/>
      </w:rPr>
      <w:tcPr>
        <w:tcBorders>
          <w:bottom w:val="single" w:color="9ABB59" w:themeColor="accent3" w:themeTint="FE" w:sz="12" w:space="0"/>
        </w:tcBorders>
      </w:tcPr>
    </w:tblStylePr>
    <w:tblStylePr w:type="lastCol">
      <w:rPr>
        <w:b/>
        <w:color w:val="9abb59" w:themeColor="accent3" w:themeTint="FE" w:themeShade="95"/>
      </w:rPr>
    </w:tblStylePr>
    <w:tblStylePr w:type="lastRow">
      <w:rPr>
        <w:b/>
        <w:color w:val="9abb59" w:themeColor="accent3" w:themeTint="FE" w:themeShade="95"/>
      </w:rPr>
    </w:tblStylePr>
  </w:style>
  <w:style w:type="table" w:styleId="879" w:customStyle="1">
    <w:name w:val="Grid Table 6 Colorful - Accent 4"/>
    <w:basedOn w:val="805"/>
    <w:uiPriority w:val="99"/>
    <w:tblPr>
      <w:tblStyleRowBandSize w:val="1"/>
      <w:tblStyleColBandSize w:val="1"/>
      <w:tblInd w:w="0" w:type="dxa"/>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12" w:space="0"/>
        </w:tcBorders>
      </w:tcPr>
    </w:tblStylePr>
    <w:tblStylePr w:type="lastCol">
      <w:rPr>
        <w:b/>
        <w:color w:val="b2a1c6" w:themeColor="accent4" w:themeTint="9A" w:themeShade="95"/>
      </w:rPr>
    </w:tblStylePr>
    <w:tblStylePr w:type="lastRow">
      <w:rPr>
        <w:b/>
        <w:color w:val="b2a1c6" w:themeColor="accent4" w:themeTint="9A" w:themeShade="95"/>
      </w:rPr>
    </w:tblStylePr>
  </w:style>
  <w:style w:type="table" w:styleId="880" w:customStyle="1">
    <w:name w:val="Grid Table 6 Colorful - Accent 5"/>
    <w:basedOn w:val="805"/>
    <w:uiPriority w:val="99"/>
    <w:tblPr>
      <w:tblStyleRowBandSize w:val="1"/>
      <w:tblStyleColBandSize w:val="1"/>
      <w:tblInd w:w="0" w:type="dxa"/>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CellMar>
        <w:left w:w="108" w:type="dxa"/>
        <w:top w:w="0" w:type="dxa"/>
        <w:right w:w="108" w:type="dxa"/>
        <w:bottom w:w="0" w:type="dxa"/>
      </w:tblCellMar>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4BACC6" w:themeColor="accent5" w:sz="12" w:space="0"/>
        </w:tcBorders>
      </w:tcPr>
    </w:tblStylePr>
    <w:tblStylePr w:type="lastCol">
      <w:rPr>
        <w:b/>
        <w:color w:val="266779" w:themeColor="accent5" w:themeShade="95"/>
      </w:rPr>
    </w:tblStylePr>
    <w:tblStylePr w:type="lastRow">
      <w:rPr>
        <w:b/>
        <w:color w:val="266779" w:themeColor="accent5" w:themeShade="95"/>
      </w:rPr>
    </w:tblStylePr>
  </w:style>
  <w:style w:type="table" w:styleId="881" w:customStyle="1">
    <w:name w:val="Grid Table 6 Colorful - Accent 6"/>
    <w:basedOn w:val="805"/>
    <w:uiPriority w:val="99"/>
    <w:tblPr>
      <w:tblStyleRowBandSize w:val="1"/>
      <w:tblStyleColBandSize w:val="1"/>
      <w:tblInd w:w="0" w:type="dxa"/>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CellMar>
        <w:left w:w="108" w:type="dxa"/>
        <w:top w:w="0" w:type="dxa"/>
        <w:right w:w="108" w:type="dxa"/>
        <w:bottom w:w="0" w:type="dxa"/>
      </w:tblCellMar>
    </w:tblPr>
    <w:tblStylePr w:type="band1Horz">
      <w:rPr>
        <w:rFonts w:ascii="Arial" w:hAnsi="Arial"/>
        <w:color w:val="266779" w:themeColor="accent5"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F79646" w:themeColor="accent6" w:sz="12" w:space="0"/>
        </w:tcBorders>
      </w:tcPr>
    </w:tblStylePr>
    <w:tblStylePr w:type="lastCol">
      <w:rPr>
        <w:b/>
        <w:color w:val="266779" w:themeColor="accent5" w:themeShade="95"/>
      </w:rPr>
    </w:tblStylePr>
    <w:tblStylePr w:type="lastRow">
      <w:rPr>
        <w:b/>
        <w:color w:val="266779" w:themeColor="accent5" w:themeShade="95"/>
      </w:rPr>
    </w:tblStylePr>
  </w:style>
  <w:style w:type="table" w:styleId="882" w:customStyle="1">
    <w:name w:val="Grid Table 7 Colorful"/>
    <w:basedOn w:val="805"/>
    <w:uiPriority w:val="99"/>
    <w:tblPr>
      <w:tblStyleRowBandSize w:val="1"/>
      <w:tblStyleColBandSize w:val="1"/>
      <w:tblInd w:w="0" w:type="dxa"/>
      <w:tblBorders>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CellMar>
        <w:left w:w="108" w:type="dxa"/>
        <w:top w:w="0" w:type="dxa"/>
        <w:right w:w="108" w:type="dxa"/>
        <w:bottom w:w="0" w:type="dxa"/>
      </w:tblCellMar>
    </w:tblPr>
    <w:tblStylePr w:type="band1Horz">
      <w:rPr>
        <w:rFonts w:ascii="Arial" w:hAnsi="Arial"/>
        <w:color w:val="7f7f7f" w:themeColor="text1" w:themeTint="80" w:themeShade="95"/>
        <w:sz w:val="22"/>
      </w:rPr>
      <w:tcPr>
        <w:shd w:val="clear" w:color="f2f2f2" w:themeColor="text1" w:themeTint="00" w:fill="f2f2f2" w:themeFill="text1" w:themeFillTint="00"/>
      </w:tcPr>
    </w:tblStylePr>
    <w:tblStylePr w:type="band1Vert">
      <w:tcPr>
        <w:shd w:val="clear" w:color="f2f2f2" w:themeColor="text1" w:themeTint="00" w:fill="f2f2f2" w:themeFill="text1" w:themeFillTint="0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b/>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b/>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883" w:customStyle="1">
    <w:name w:val="Grid Table 7 Colorful - Accent 1"/>
    <w:basedOn w:val="805"/>
    <w:uiPriority w:val="99"/>
    <w:tblPr>
      <w:tblStyleRowBandSize w:val="1"/>
      <w:tblStyleColBandSize w:val="1"/>
      <w:tblInd w:w="0" w:type="dxa"/>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CellMar>
        <w:left w:w="108" w:type="dxa"/>
        <w:top w:w="0" w:type="dxa"/>
        <w:right w:w="108" w:type="dxa"/>
        <w:bottom w:w="0" w:type="dxa"/>
      </w:tblCellMar>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rFonts w:ascii="Arial" w:hAnsi="Arial"/>
        <w:i/>
        <w:color w:val="a6bfdd" w:themeColor="accent1" w:themeTint="80" w:themeShade="95"/>
        <w:sz w:val="22"/>
      </w:rPr>
      <w:pPr>
        <w:jc w:val="right"/>
      </w:pPr>
      <w:tcPr>
        <w:shd w:val="clear" w:color="ffffff" w:fill="auto"/>
        <w:tcBorders>
          <w:top w:val="none" w:color="000000" w:sz="4" w:space="0"/>
          <w:left w:val="none" w:color="000000" w:sz="4" w:space="0"/>
          <w:bottom w:val="none" w:color="000000" w:sz="4" w:space="0"/>
          <w:right w:val="single" w:color="A6BFDD" w:themeColor="accent1" w:themeTint="80" w:sz="4" w:space="0"/>
        </w:tcBorders>
      </w:tcPr>
    </w:tblStylePr>
    <w:tblStylePr w:type="firstRow">
      <w:rPr>
        <w:rFonts w:ascii="Arial" w:hAnsi="Arial"/>
        <w:b/>
        <w:color w:val="a6bfdd" w:themeColor="accent1" w:themeTint="80" w:themeShade="95"/>
        <w:sz w:val="22"/>
      </w:rPr>
      <w:tcPr>
        <w:shd w:val="clear" w:color="ffffff" w:themeColor="light1" w:fill="ffffff" w:themeFill="light1"/>
        <w:tcBorders>
          <w:top w:val="none" w:color="000000" w:sz="4" w:space="0"/>
          <w:left w:val="none" w:color="000000" w:sz="4" w:space="0"/>
          <w:bottom w:val="single" w:color="A6BFDD" w:themeColor="accent1" w:themeTint="80" w:sz="4" w:space="0"/>
          <w:right w:val="none" w:color="000000" w:sz="4" w:space="0"/>
        </w:tcBorders>
      </w:tcPr>
    </w:tblStylePr>
    <w:tblStylePr w:type="lastCol">
      <w:rPr>
        <w:rFonts w:ascii="Arial" w:hAnsi="Arial"/>
        <w:i/>
        <w:color w:val="a6bfdd" w:themeColor="accent1" w:themeTint="80" w:themeShade="95"/>
        <w:sz w:val="22"/>
      </w:rPr>
      <w:tcPr>
        <w:shd w:val="clear" w:color="ffffff" w:fill="auto"/>
        <w:tcBorders>
          <w:top w:val="none" w:color="000000" w:sz="4" w:space="0"/>
          <w:left w:val="single" w:color="A6BFDD" w:themeColor="accent1" w:themeTint="80" w:sz="4" w:space="0"/>
          <w:bottom w:val="none" w:color="000000" w:sz="4" w:space="0"/>
          <w:right w:val="none" w:color="000000" w:sz="4" w:space="0"/>
        </w:tcBorders>
      </w:tcPr>
    </w:tblStylePr>
    <w:tblStylePr w:type="lastRow">
      <w:rPr>
        <w:rFonts w:ascii="Arial" w:hAnsi="Arial"/>
        <w:b/>
        <w:color w:val="a6bfdd" w:themeColor="accent1" w:themeTint="80" w:themeShade="95"/>
        <w:sz w:val="22"/>
      </w:rPr>
      <w:tcPr>
        <w:shd w:val="clear" w:color="ffffff" w:themeColor="light1" w:fill="ffffff" w:themeFill="light1"/>
        <w:tcBorders>
          <w:top w:val="single" w:color="A6BFDD" w:themeColor="accent1" w:themeTint="80" w:sz="4" w:space="0"/>
          <w:left w:val="none" w:color="000000" w:sz="4" w:space="0"/>
          <w:bottom w:val="none" w:color="000000" w:sz="4" w:space="0"/>
          <w:right w:val="none" w:color="000000" w:sz="4" w:space="0"/>
        </w:tcBorders>
      </w:tcPr>
    </w:tblStylePr>
  </w:style>
  <w:style w:type="table" w:styleId="884" w:customStyle="1">
    <w:name w:val="Grid Table 7 Colorful - Accent 2"/>
    <w:basedOn w:val="805"/>
    <w:uiPriority w:val="99"/>
    <w:tblPr>
      <w:tblStyleRowBandSize w:val="1"/>
      <w:tblStyleColBandSize w:val="1"/>
      <w:tblInd w:w="0" w:type="dxa"/>
      <w:tblBorders>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b/>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b/>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885" w:customStyle="1">
    <w:name w:val="Grid Table 7 Colorful - Accent 3"/>
    <w:basedOn w:val="805"/>
    <w:uiPriority w:val="99"/>
    <w:tblPr>
      <w:tblStyleRowBandSize w:val="1"/>
      <w:tblStyleColBandSize w:val="1"/>
      <w:tblInd w:w="0" w:type="dxa"/>
      <w:tblBorders>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CellMar>
        <w:left w:w="108" w:type="dxa"/>
        <w:top w:w="0" w:type="dxa"/>
        <w:right w:w="108" w:type="dxa"/>
        <w:bottom w:w="0" w:type="dxa"/>
      </w:tblCellMar>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rFonts w:ascii="Arial" w:hAnsi="Arial"/>
        <w:i/>
        <w:color w:val="9abb59" w:themeColor="accent3" w:themeTint="FE" w:themeShade="95"/>
        <w:sz w:val="22"/>
      </w:rPr>
      <w:pPr>
        <w:jc w:val="right"/>
      </w:pPr>
      <w:tcPr>
        <w:shd w:val="clear" w:color="ffffff" w:fill="auto"/>
        <w:tcBorders>
          <w:top w:val="none" w:color="000000" w:sz="4" w:space="0"/>
          <w:left w:val="none" w:color="000000" w:sz="4" w:space="0"/>
          <w:bottom w:val="none" w:color="000000" w:sz="4" w:space="0"/>
          <w:right w:val="single" w:color="9ABB59" w:themeColor="accent3" w:themeTint="FE" w:sz="4" w:space="0"/>
        </w:tcBorders>
      </w:tcPr>
    </w:tblStylePr>
    <w:tblStylePr w:type="firstRow">
      <w:rPr>
        <w:rFonts w:ascii="Arial" w:hAnsi="Arial"/>
        <w:b/>
        <w:color w:val="9abb59" w:themeColor="accent3" w:themeTint="FE" w:themeShade="95"/>
        <w:sz w:val="22"/>
      </w:rPr>
      <w:tcPr>
        <w:shd w:val="clear" w:color="ffffff" w:themeColor="light1" w:fill="ffffff" w:themeFill="light1"/>
        <w:tcBorders>
          <w:top w:val="none" w:color="000000" w:sz="4" w:space="0"/>
          <w:left w:val="none" w:color="000000" w:sz="4" w:space="0"/>
          <w:bottom w:val="single" w:color="9ABB59" w:themeColor="accent3" w:themeTint="FE" w:sz="4" w:space="0"/>
          <w:right w:val="none" w:color="000000" w:sz="4" w:space="0"/>
        </w:tcBorders>
      </w:tcPr>
    </w:tblStylePr>
    <w:tblStylePr w:type="lastCol">
      <w:rPr>
        <w:rFonts w:ascii="Arial" w:hAnsi="Arial"/>
        <w:i/>
        <w:color w:val="9abb59" w:themeColor="accent3" w:themeTint="FE" w:themeShade="95"/>
        <w:sz w:val="22"/>
      </w:rPr>
      <w:tcPr>
        <w:shd w:val="clear" w:color="ffffff" w:fill="auto"/>
        <w:tcBorders>
          <w:top w:val="none" w:color="000000" w:sz="4" w:space="0"/>
          <w:left w:val="single" w:color="9ABB59" w:themeColor="accent3" w:themeTint="FE" w:sz="4" w:space="0"/>
          <w:bottom w:val="none" w:color="000000" w:sz="4" w:space="0"/>
          <w:right w:val="none" w:color="000000" w:sz="4" w:space="0"/>
        </w:tcBorders>
      </w:tcPr>
    </w:tblStylePr>
    <w:tblStylePr w:type="lastRow">
      <w:rPr>
        <w:rFonts w:ascii="Arial" w:hAnsi="Arial"/>
        <w:b/>
        <w:color w:val="9abb59" w:themeColor="accent3" w:themeTint="FE" w:themeShade="95"/>
        <w:sz w:val="22"/>
      </w:rPr>
      <w:tcPr>
        <w:shd w:val="clear" w:color="ffffff" w:themeColor="light1" w:fill="ffffff" w:themeFill="light1"/>
        <w:tcBorders>
          <w:top w:val="single" w:color="9ABB59" w:themeColor="accent3" w:themeTint="FE" w:sz="4" w:space="0"/>
          <w:left w:val="none" w:color="000000" w:sz="4" w:space="0"/>
          <w:bottom w:val="none" w:color="000000" w:sz="4" w:space="0"/>
          <w:right w:val="none" w:color="000000" w:sz="4" w:space="0"/>
        </w:tcBorders>
      </w:tcPr>
    </w:tblStylePr>
  </w:style>
  <w:style w:type="table" w:styleId="886" w:customStyle="1">
    <w:name w:val="Grid Table 7 Colorful - Accent 4"/>
    <w:basedOn w:val="805"/>
    <w:uiPriority w:val="99"/>
    <w:tblPr>
      <w:tblStyleRowBandSize w:val="1"/>
      <w:tblStyleColBandSize w:val="1"/>
      <w:tblInd w:w="0" w:type="dxa"/>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b/>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b/>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887" w:customStyle="1">
    <w:name w:val="Grid Table 7 Colorful - Accent 5"/>
    <w:basedOn w:val="805"/>
    <w:uiPriority w:val="99"/>
    <w:tblPr>
      <w:tblStyleRowBandSize w:val="1"/>
      <w:tblStyleColBandSize w:val="1"/>
      <w:tblInd w:w="0" w:type="dxa"/>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CellMar>
        <w:left w:w="108" w:type="dxa"/>
        <w:top w:w="0" w:type="dxa"/>
        <w:right w:w="108" w:type="dxa"/>
        <w:bottom w:w="0" w:type="dxa"/>
      </w:tblCellMar>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rFonts w:ascii="Arial" w:hAnsi="Arial"/>
        <w:i/>
        <w:color w:val="266779" w:themeColor="accent5" w:themeShade="95"/>
        <w:sz w:val="22"/>
      </w:rPr>
      <w:pPr>
        <w:jc w:val="right"/>
      </w:pPr>
      <w:tcPr>
        <w:shd w:val="clear" w:color="ffffff" w:fill="auto"/>
        <w:tcBorders>
          <w:top w:val="none" w:color="000000" w:sz="4" w:space="0"/>
          <w:left w:val="none" w:color="000000" w:sz="4" w:space="0"/>
          <w:bottom w:val="none" w:color="000000" w:sz="4" w:space="0"/>
          <w:right w:val="single" w:color="99D0DE" w:themeColor="accent5" w:themeTint="90" w:sz="4" w:space="0"/>
        </w:tcBorders>
      </w:tcPr>
    </w:tblStylePr>
    <w:tblStylePr w:type="firstRow">
      <w:rPr>
        <w:rFonts w:ascii="Arial" w:hAnsi="Arial"/>
        <w:b/>
        <w:color w:val="266779" w:themeColor="accent5" w:themeShade="95"/>
        <w:sz w:val="22"/>
      </w:rPr>
      <w:tcPr>
        <w:shd w:val="clear" w:color="ffffff" w:themeColor="light1" w:fill="ffffff" w:themeFill="light1"/>
        <w:tcBorders>
          <w:top w:val="none" w:color="000000" w:sz="4" w:space="0"/>
          <w:left w:val="none" w:color="000000" w:sz="4" w:space="0"/>
          <w:bottom w:val="single" w:color="99D0DE" w:themeColor="accent5" w:themeTint="90" w:sz="4" w:space="0"/>
          <w:right w:val="none" w:color="000000" w:sz="4" w:space="0"/>
        </w:tcBorders>
      </w:tcPr>
    </w:tblStylePr>
    <w:tblStylePr w:type="lastCol">
      <w:rPr>
        <w:rFonts w:ascii="Arial" w:hAnsi="Arial"/>
        <w:i/>
        <w:color w:val="266779" w:themeColor="accent5" w:themeShade="95"/>
        <w:sz w:val="22"/>
      </w:rPr>
      <w:tcPr>
        <w:shd w:val="clear" w:color="ffffff" w:fill="auto"/>
        <w:tcBorders>
          <w:top w:val="none" w:color="000000" w:sz="4" w:space="0"/>
          <w:left w:val="single" w:color="99D0DE" w:themeColor="accent5" w:themeTint="90" w:sz="4" w:space="0"/>
          <w:bottom w:val="none" w:color="000000" w:sz="4" w:space="0"/>
          <w:right w:val="none" w:color="000000" w:sz="4" w:space="0"/>
        </w:tcBorders>
      </w:tcPr>
    </w:tblStylePr>
    <w:tblStylePr w:type="lastRow">
      <w:rPr>
        <w:rFonts w:ascii="Arial" w:hAnsi="Arial"/>
        <w:b/>
        <w:color w:val="266779" w:themeColor="accent5" w:themeShade="95"/>
        <w:sz w:val="22"/>
      </w:rPr>
      <w:tcPr>
        <w:shd w:val="clear" w:color="ffffff" w:themeColor="light1" w:fill="ffffff" w:themeFill="light1"/>
        <w:tcBorders>
          <w:top w:val="single" w:color="99D0DE" w:themeColor="accent5" w:themeTint="90" w:sz="4" w:space="0"/>
          <w:left w:val="none" w:color="000000" w:sz="4" w:space="0"/>
          <w:bottom w:val="none" w:color="000000" w:sz="4" w:space="0"/>
          <w:right w:val="none" w:color="000000" w:sz="4" w:space="0"/>
        </w:tcBorders>
      </w:tcPr>
    </w:tblStylePr>
  </w:style>
  <w:style w:type="table" w:styleId="888" w:customStyle="1">
    <w:name w:val="Grid Table 7 Colorful - Accent 6"/>
    <w:basedOn w:val="805"/>
    <w:uiPriority w:val="99"/>
    <w:tblPr>
      <w:tblStyleRowBandSize w:val="1"/>
      <w:tblStyleColBandSize w:val="1"/>
      <w:tblInd w:w="0" w:type="dxa"/>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CellMar>
        <w:left w:w="108" w:type="dxa"/>
        <w:top w:w="0" w:type="dxa"/>
        <w:right w:w="108" w:type="dxa"/>
        <w:bottom w:w="0" w:type="dxa"/>
      </w:tblCellMar>
    </w:tblPr>
    <w:tblStylePr w:type="band1Horz">
      <w:rPr>
        <w:rFonts w:ascii="Arial" w:hAnsi="Arial"/>
        <w:color w:val="b15407" w:themeColor="accent6"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b15407" w:themeColor="accent6" w:themeShade="95"/>
        <w:sz w:val="22"/>
      </w:rPr>
    </w:tblStylePr>
    <w:tblStylePr w:type="firstCol">
      <w:rPr>
        <w:rFonts w:ascii="Arial" w:hAnsi="Arial"/>
        <w:i/>
        <w:color w:val="b15407" w:themeColor="accent6" w:themeShade="95"/>
        <w:sz w:val="22"/>
      </w:rPr>
      <w:pPr>
        <w:jc w:val="right"/>
      </w:pPr>
      <w:tcPr>
        <w:shd w:val="clear" w:color="ffffff" w:fill="auto"/>
        <w:tcBorders>
          <w:top w:val="none" w:color="000000" w:sz="4" w:space="0"/>
          <w:left w:val="none" w:color="000000" w:sz="4" w:space="0"/>
          <w:bottom w:val="none" w:color="000000" w:sz="4" w:space="0"/>
          <w:right w:val="single" w:color="FAC396" w:themeColor="accent6" w:themeTint="90" w:sz="4" w:space="0"/>
        </w:tcBorders>
      </w:tcPr>
    </w:tblStylePr>
    <w:tblStylePr w:type="firstRow">
      <w:rPr>
        <w:rFonts w:ascii="Arial" w:hAnsi="Arial"/>
        <w:b/>
        <w:color w:val="b15407" w:themeColor="accent6" w:themeShade="95"/>
        <w:sz w:val="22"/>
      </w:rPr>
      <w:tcPr>
        <w:shd w:val="clear" w:color="ffffff" w:themeColor="light1" w:fill="ffffff" w:themeFill="light1"/>
        <w:tcBorders>
          <w:top w:val="none" w:color="000000" w:sz="4" w:space="0"/>
          <w:left w:val="none" w:color="000000" w:sz="4" w:space="0"/>
          <w:bottom w:val="single" w:color="FAC396" w:themeColor="accent6" w:themeTint="90" w:sz="4" w:space="0"/>
          <w:right w:val="none" w:color="000000" w:sz="4" w:space="0"/>
        </w:tcBorders>
      </w:tcPr>
    </w:tblStylePr>
    <w:tblStylePr w:type="lastCol">
      <w:rPr>
        <w:rFonts w:ascii="Arial" w:hAnsi="Arial"/>
        <w:i/>
        <w:color w:val="b15407" w:themeColor="accent6" w:themeShade="95"/>
        <w:sz w:val="22"/>
      </w:rPr>
      <w:tcPr>
        <w:shd w:val="clear" w:color="ffffff" w:fill="auto"/>
        <w:tcBorders>
          <w:top w:val="none" w:color="000000" w:sz="4" w:space="0"/>
          <w:left w:val="single" w:color="FAC396" w:themeColor="accent6" w:themeTint="90" w:sz="4" w:space="0"/>
          <w:bottom w:val="none" w:color="000000" w:sz="4" w:space="0"/>
          <w:right w:val="none" w:color="000000" w:sz="4" w:space="0"/>
        </w:tcBorders>
      </w:tcPr>
    </w:tblStylePr>
    <w:tblStylePr w:type="lastRow">
      <w:rPr>
        <w:rFonts w:ascii="Arial" w:hAnsi="Arial"/>
        <w:b/>
        <w:color w:val="b15407" w:themeColor="accent6" w:themeShade="95"/>
        <w:sz w:val="22"/>
      </w:rPr>
      <w:tcPr>
        <w:shd w:val="clear" w:color="ffffff" w:themeColor="light1" w:fill="ffffff" w:themeFill="light1"/>
        <w:tcBorders>
          <w:top w:val="single" w:color="FAC396" w:themeColor="accent6" w:themeTint="90" w:sz="4" w:space="0"/>
          <w:left w:val="none" w:color="000000" w:sz="4" w:space="0"/>
          <w:bottom w:val="none" w:color="000000" w:sz="4" w:space="0"/>
          <w:right w:val="none" w:color="000000" w:sz="4" w:space="0"/>
        </w:tcBorders>
      </w:tcPr>
    </w:tblStylePr>
  </w:style>
  <w:style w:type="table" w:styleId="889" w:customStyle="1">
    <w:name w:val="List Table 1 Light"/>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890" w:customStyle="1">
    <w:name w:val="List Table 1 Light - Accent 1"/>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F81BD" w:themeColor="accent1" w:sz="4" w:space="0"/>
          <w:right w:val="none" w:color="000000" w:sz="4" w:space="0"/>
        </w:tcBorders>
      </w:tcPr>
    </w:tblStylePr>
    <w:tblStylePr w:type="lastCol">
      <w:rPr>
        <w:b/>
        <w:color w:val="404040"/>
      </w:rPr>
    </w:tblStylePr>
    <w:tblStylePr w:type="lastRow">
      <w:rPr>
        <w:b/>
        <w:color w:val="404040"/>
      </w:rPr>
      <w:tcPr>
        <w:tcBorders>
          <w:top w:val="single" w:color="4F81BD" w:themeColor="accent1" w:sz="4" w:space="0"/>
          <w:left w:val="none" w:color="000000" w:sz="4" w:space="0"/>
          <w:bottom w:val="none" w:color="000000" w:sz="4" w:space="0"/>
          <w:right w:val="none" w:color="000000" w:sz="4" w:space="0"/>
        </w:tcBorders>
      </w:tcPr>
    </w:tblStylePr>
  </w:style>
  <w:style w:type="table" w:styleId="891" w:customStyle="1">
    <w:name w:val="List Table 1 Light - Accent 2"/>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C0504D" w:themeColor="accent2" w:sz="4" w:space="0"/>
          <w:right w:val="none" w:color="000000" w:sz="4" w:space="0"/>
        </w:tcBorders>
      </w:tcPr>
    </w:tblStylePr>
    <w:tblStylePr w:type="lastCol">
      <w:rPr>
        <w:b/>
        <w:color w:val="404040"/>
      </w:rPr>
    </w:tblStylePr>
    <w:tblStylePr w:type="lastRow">
      <w:rPr>
        <w:b/>
        <w:color w:val="404040"/>
      </w:rPr>
      <w:tcPr>
        <w:tcBorders>
          <w:top w:val="single" w:color="C0504D" w:themeColor="accent2" w:sz="4" w:space="0"/>
          <w:left w:val="none" w:color="000000" w:sz="4" w:space="0"/>
          <w:bottom w:val="none" w:color="000000" w:sz="4" w:space="0"/>
          <w:right w:val="none" w:color="000000" w:sz="4" w:space="0"/>
        </w:tcBorders>
      </w:tcPr>
    </w:tblStylePr>
  </w:style>
  <w:style w:type="table" w:styleId="892" w:customStyle="1">
    <w:name w:val="List Table 1 Light - Accent 3"/>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9BBB59" w:themeColor="accent3" w:sz="4" w:space="0"/>
          <w:right w:val="none" w:color="000000" w:sz="4" w:space="0"/>
        </w:tcBorders>
      </w:tcPr>
    </w:tblStylePr>
    <w:tblStylePr w:type="lastCol">
      <w:rPr>
        <w:b/>
        <w:color w:val="404040"/>
      </w:rPr>
    </w:tblStylePr>
    <w:tblStylePr w:type="lastRow">
      <w:rPr>
        <w:b/>
        <w:color w:val="404040"/>
      </w:rPr>
      <w:tcPr>
        <w:tcBorders>
          <w:top w:val="single" w:color="9BBB59" w:themeColor="accent3" w:sz="4" w:space="0"/>
          <w:left w:val="none" w:color="000000" w:sz="4" w:space="0"/>
          <w:bottom w:val="none" w:color="000000" w:sz="4" w:space="0"/>
          <w:right w:val="none" w:color="000000" w:sz="4" w:space="0"/>
        </w:tcBorders>
      </w:tcPr>
    </w:tblStylePr>
  </w:style>
  <w:style w:type="table" w:styleId="893" w:customStyle="1">
    <w:name w:val="List Table 1 Light - Accent 4"/>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8064A2" w:themeColor="accent4" w:sz="4" w:space="0"/>
          <w:right w:val="none" w:color="000000" w:sz="4" w:space="0"/>
        </w:tcBorders>
      </w:tcPr>
    </w:tblStylePr>
    <w:tblStylePr w:type="lastCol">
      <w:rPr>
        <w:b/>
        <w:color w:val="404040"/>
      </w:rPr>
    </w:tblStylePr>
    <w:tblStylePr w:type="lastRow">
      <w:rPr>
        <w:b/>
        <w:color w:val="404040"/>
      </w:rPr>
      <w:tcPr>
        <w:tcBorders>
          <w:top w:val="single" w:color="8064A2" w:themeColor="accent4" w:sz="4" w:space="0"/>
          <w:left w:val="none" w:color="000000" w:sz="4" w:space="0"/>
          <w:bottom w:val="none" w:color="000000" w:sz="4" w:space="0"/>
          <w:right w:val="none" w:color="000000" w:sz="4" w:space="0"/>
        </w:tcBorders>
      </w:tcPr>
    </w:tblStylePr>
  </w:style>
  <w:style w:type="table" w:styleId="894" w:customStyle="1">
    <w:name w:val="List Table 1 Light - Accent 5"/>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BACC6" w:themeColor="accent5" w:sz="4" w:space="0"/>
          <w:right w:val="none" w:color="000000" w:sz="4" w:space="0"/>
        </w:tcBorders>
      </w:tcPr>
    </w:tblStylePr>
    <w:tblStylePr w:type="lastCol">
      <w:rPr>
        <w:b/>
        <w:color w:val="404040"/>
      </w:rPr>
    </w:tblStylePr>
    <w:tblStylePr w:type="lastRow">
      <w:rPr>
        <w:b/>
        <w:color w:val="404040"/>
      </w:rPr>
      <w:tcPr>
        <w:tcBorders>
          <w:top w:val="single" w:color="4BACC6" w:themeColor="accent5" w:sz="4" w:space="0"/>
          <w:left w:val="none" w:color="000000" w:sz="4" w:space="0"/>
          <w:bottom w:val="none" w:color="000000" w:sz="4" w:space="0"/>
          <w:right w:val="none" w:color="000000" w:sz="4" w:space="0"/>
        </w:tcBorders>
      </w:tcPr>
    </w:tblStylePr>
  </w:style>
  <w:style w:type="table" w:styleId="895" w:customStyle="1">
    <w:name w:val="List Table 1 Light - Accent 6"/>
    <w:basedOn w:val="805"/>
    <w:uiPriority w:val="99"/>
    <w:tblPr>
      <w:tblStyleRowBandSize w:val="1"/>
      <w:tblStyleColBandSize w:val="1"/>
      <w:tblInd w:w="0" w:type="dxa"/>
      <w:tblCellMar>
        <w:left w:w="108" w:type="dxa"/>
        <w:top w:w="0" w:type="dxa"/>
        <w:right w:w="108" w:type="dxa"/>
        <w:bottom w:w="0" w:type="dxa"/>
      </w:tblCellMar>
    </w:tblPr>
    <w:tblStylePr w:type="band1Horz">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F79646" w:themeColor="accent6" w:sz="4" w:space="0"/>
          <w:right w:val="none" w:color="000000" w:sz="4" w:space="0"/>
        </w:tcBorders>
      </w:tcPr>
    </w:tblStylePr>
    <w:tblStylePr w:type="lastCol">
      <w:rPr>
        <w:b/>
        <w:color w:val="404040"/>
      </w:rPr>
    </w:tblStylePr>
    <w:tblStylePr w:type="lastRow">
      <w:rPr>
        <w:b/>
        <w:color w:val="404040"/>
      </w:rPr>
      <w:tcPr>
        <w:tcBorders>
          <w:top w:val="single" w:color="F79646" w:themeColor="accent6" w:sz="4" w:space="0"/>
          <w:left w:val="none" w:color="000000" w:sz="4" w:space="0"/>
          <w:bottom w:val="none" w:color="000000" w:sz="4" w:space="0"/>
          <w:right w:val="none" w:color="000000" w:sz="4" w:space="0"/>
        </w:tcBorders>
      </w:tcPr>
    </w:tblStylePr>
  </w:style>
  <w:style w:type="table" w:styleId="896" w:customStyle="1">
    <w:name w:val="List Table 2"/>
    <w:basedOn w:val="805"/>
    <w:uiPriority w:val="99"/>
    <w:tblPr>
      <w:tblStyleRowBandSize w:val="1"/>
      <w:tblStyleColBandSize w:val="1"/>
      <w:tblInd w:w="0" w:type="dxa"/>
      <w:tblBorders>
        <w:top w:val="single" w:color="6F6F6F" w:themeColor="text1" w:themeTint="90" w:sz="4" w:space="0"/>
        <w:bottom w:val="single" w:color="6F6F6F" w:themeColor="text1" w:themeTint="90" w:sz="4" w:space="0"/>
        <w:insideH w:val="single" w:color="6F6F6F" w:themeColor="text1" w:themeTint="90" w:sz="4" w:space="0"/>
      </w:tblBorders>
      <w:tblCellMar>
        <w:left w:w="108" w:type="dxa"/>
        <w:top w:w="0" w:type="dxa"/>
        <w:right w:w="108" w:type="dxa"/>
        <w:bottom w:w="0" w:type="dxa"/>
      </w:tblCellMar>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style>
  <w:style w:type="table" w:styleId="897" w:customStyle="1">
    <w:name w:val="List Table 2 - Accent 1"/>
    <w:basedOn w:val="805"/>
    <w:uiPriority w:val="99"/>
    <w:tblPr>
      <w:tblStyleRowBandSize w:val="1"/>
      <w:tblStyleColBandSize w:val="1"/>
      <w:tblInd w:w="0" w:type="dxa"/>
      <w:tblBorders>
        <w:top w:val="single" w:color="9BB7D9" w:themeColor="accent1" w:themeTint="90" w:sz="4" w:space="0"/>
        <w:bottom w:val="single" w:color="9BB7D9" w:themeColor="accent1" w:themeTint="90" w:sz="4" w:space="0"/>
        <w:insideH w:val="single" w:color="9BB7D9" w:themeColor="accent1" w:themeTint="90" w:sz="4" w:space="0"/>
      </w:tblBorders>
      <w:tblCellMar>
        <w:left w:w="108" w:type="dxa"/>
        <w:top w:w="0" w:type="dxa"/>
        <w:right w:w="108" w:type="dxa"/>
        <w:bottom w:w="0" w:type="dxa"/>
      </w:tblCellMar>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style>
  <w:style w:type="table" w:styleId="898" w:customStyle="1">
    <w:name w:val="List Table 2 - Accent 2"/>
    <w:basedOn w:val="805"/>
    <w:uiPriority w:val="99"/>
    <w:tblPr>
      <w:tblStyleRowBandSize w:val="1"/>
      <w:tblStyleColBandSize w:val="1"/>
      <w:tblInd w:w="0" w:type="dxa"/>
      <w:tblBorders>
        <w:top w:val="single" w:color="DB9B9A" w:themeColor="accent2" w:themeTint="90" w:sz="4" w:space="0"/>
        <w:bottom w:val="single" w:color="DB9B9A" w:themeColor="accent2" w:themeTint="90" w:sz="4" w:space="0"/>
        <w:insideH w:val="single" w:color="DB9B9A" w:themeColor="accent2" w:themeTint="90" w:sz="4" w:space="0"/>
      </w:tblBorders>
      <w:tblCellMar>
        <w:left w:w="108" w:type="dxa"/>
        <w:top w:w="0" w:type="dxa"/>
        <w:right w:w="108" w:type="dxa"/>
        <w:bottom w:w="0" w:type="dxa"/>
      </w:tblCellMar>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style>
  <w:style w:type="table" w:styleId="899" w:customStyle="1">
    <w:name w:val="List Table 2 - Accent 3"/>
    <w:basedOn w:val="805"/>
    <w:uiPriority w:val="99"/>
    <w:tblPr>
      <w:tblStyleRowBandSize w:val="1"/>
      <w:tblStyleColBandSize w:val="1"/>
      <w:tblInd w:w="0" w:type="dxa"/>
      <w:tblBorders>
        <w:top w:val="single" w:color="C6D8A1" w:themeColor="accent3" w:themeTint="90" w:sz="4" w:space="0"/>
        <w:bottom w:val="single" w:color="C6D8A1" w:themeColor="accent3" w:themeTint="90" w:sz="4" w:space="0"/>
        <w:insideH w:val="single" w:color="C6D8A1" w:themeColor="accent3" w:themeTint="90" w:sz="4" w:space="0"/>
      </w:tblBorders>
      <w:tblCellMar>
        <w:left w:w="108" w:type="dxa"/>
        <w:top w:w="0" w:type="dxa"/>
        <w:right w:w="108" w:type="dxa"/>
        <w:bottom w:w="0" w:type="dxa"/>
      </w:tblCellMar>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style>
  <w:style w:type="table" w:styleId="900" w:customStyle="1">
    <w:name w:val="List Table 2 - Accent 4"/>
    <w:basedOn w:val="805"/>
    <w:uiPriority w:val="99"/>
    <w:tblPr>
      <w:tblStyleRowBandSize w:val="1"/>
      <w:tblStyleColBandSize w:val="1"/>
      <w:tblInd w:w="0" w:type="dxa"/>
      <w:tblBorders>
        <w:top w:val="single" w:color="B7A7CA" w:themeColor="accent4" w:themeTint="90" w:sz="4" w:space="0"/>
        <w:bottom w:val="single" w:color="B7A7CA" w:themeColor="accent4" w:themeTint="90" w:sz="4" w:space="0"/>
        <w:insideH w:val="single" w:color="B7A7CA" w:themeColor="accent4" w:themeTint="90" w:sz="4" w:space="0"/>
      </w:tblBorders>
      <w:tblCellMar>
        <w:left w:w="108" w:type="dxa"/>
        <w:top w:w="0" w:type="dxa"/>
        <w:right w:w="108" w:type="dxa"/>
        <w:bottom w:w="0" w:type="dxa"/>
      </w:tblCellMar>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style>
  <w:style w:type="table" w:styleId="901" w:customStyle="1">
    <w:name w:val="List Table 2 - Accent 5"/>
    <w:basedOn w:val="805"/>
    <w:uiPriority w:val="99"/>
    <w:tblPr>
      <w:tblStyleRowBandSize w:val="1"/>
      <w:tblStyleColBandSize w:val="1"/>
      <w:tblInd w:w="0" w:type="dxa"/>
      <w:tblBorders>
        <w:top w:val="single" w:color="99D0DE" w:themeColor="accent5" w:themeTint="90" w:sz="4" w:space="0"/>
        <w:bottom w:val="single" w:color="99D0DE" w:themeColor="accent5" w:themeTint="90" w:sz="4" w:space="0"/>
        <w:insideH w:val="single" w:color="99D0DE" w:themeColor="accent5" w:themeTint="90" w:sz="4" w:space="0"/>
      </w:tblBorders>
      <w:tblCellMar>
        <w:left w:w="108" w:type="dxa"/>
        <w:top w:w="0" w:type="dxa"/>
        <w:right w:w="108" w:type="dxa"/>
        <w:bottom w:w="0" w:type="dxa"/>
      </w:tblCellMar>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style>
  <w:style w:type="table" w:styleId="902" w:customStyle="1">
    <w:name w:val="List Table 2 - Accent 6"/>
    <w:basedOn w:val="805"/>
    <w:uiPriority w:val="99"/>
    <w:tblPr>
      <w:tblStyleRowBandSize w:val="1"/>
      <w:tblStyleColBandSize w:val="1"/>
      <w:tblInd w:w="0" w:type="dxa"/>
      <w:tblBorders>
        <w:top w:val="single" w:color="FAC396" w:themeColor="accent6" w:themeTint="90" w:sz="4" w:space="0"/>
        <w:bottom w:val="single" w:color="FAC396" w:themeColor="accent6" w:themeTint="90" w:sz="4" w:space="0"/>
        <w:insideH w:val="single" w:color="FAC396" w:themeColor="accent6" w:themeTint="90" w:sz="4" w:space="0"/>
      </w:tblBorders>
      <w:tblCellMar>
        <w:left w:w="108" w:type="dxa"/>
        <w:top w:w="0" w:type="dxa"/>
        <w:right w:w="108" w:type="dxa"/>
        <w:bottom w:w="0" w:type="dxa"/>
      </w:tblCellMar>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style>
  <w:style w:type="table" w:styleId="903" w:customStyle="1">
    <w:name w:val="List Table 3"/>
    <w:basedOn w:val="805"/>
    <w:uiPriority w:val="99"/>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CellMar>
        <w:left w:w="108" w:type="dxa"/>
        <w:top w:w="0" w:type="dxa"/>
        <w:right w:w="108" w:type="dxa"/>
        <w:bottom w:w="0" w:type="dxa"/>
      </w:tblCellMar>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904" w:customStyle="1">
    <w:name w:val="List Table 3 - Accent 1"/>
    <w:basedOn w:val="805"/>
    <w:uiPriority w:val="99"/>
    <w:tblPr>
      <w:tblStyleRowBandSize w:val="1"/>
      <w:tblStyleColBandSize w:val="1"/>
      <w:tblInd w:w="0" w:type="dxa"/>
      <w:tblBorders>
        <w:top w:val="single" w:color="4F81BD" w:themeColor="accent1" w:sz="4" w:space="0"/>
        <w:left w:val="single" w:color="4F81BD" w:themeColor="accent1" w:sz="4" w:space="0"/>
        <w:bottom w:val="single" w:color="4F81BD" w:themeColor="accent1" w:sz="4" w:space="0"/>
        <w:right w:val="single" w:color="4F81BD" w:themeColor="accent1" w:sz="4" w:space="0"/>
      </w:tblBorders>
      <w:tblCellMar>
        <w:left w:w="108" w:type="dxa"/>
        <w:top w:w="0" w:type="dxa"/>
        <w:right w:w="108" w:type="dxa"/>
        <w:bottom w:w="0" w:type="dxa"/>
      </w:tblCellMar>
    </w:tblPr>
    <w:tblStylePr w:type="band1Horz">
      <w:rPr>
        <w:rFonts w:ascii="Arial" w:hAnsi="Arial"/>
        <w:color w:val="404040"/>
        <w:sz w:val="22"/>
      </w:rPr>
      <w:tcPr>
        <w:tcBorders>
          <w:top w:val="single" w:color="4F81BD" w:themeColor="accent1" w:sz="4" w:space="0"/>
          <w:bottom w:val="single" w:color="4F81BD" w:themeColor="accent1" w:sz="4" w:space="0"/>
        </w:tcBorders>
      </w:tc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905" w:customStyle="1">
    <w:name w:val="List Table 3 - Accent 2"/>
    <w:basedOn w:val="805"/>
    <w:uiPriority w:val="99"/>
    <w:tblPr>
      <w:tblStyleRowBandSize w:val="1"/>
      <w:tblStyleColBandSize w:val="1"/>
      <w:tblInd w:w="0" w:type="dxa"/>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blBorders>
      <w:tblCellMar>
        <w:left w:w="108" w:type="dxa"/>
        <w:top w:w="0" w:type="dxa"/>
        <w:right w:w="108" w:type="dxa"/>
        <w:bottom w:w="0" w:type="dxa"/>
      </w:tblCellMar>
    </w:tblPr>
    <w:tblStylePr w:type="band1Horz">
      <w:rPr>
        <w:rFonts w:ascii="Arial" w:hAnsi="Arial"/>
        <w:color w:val="404040"/>
        <w:sz w:val="22"/>
      </w:rPr>
      <w:tcPr>
        <w:tcBorders>
          <w:top w:val="single" w:color="D99695" w:themeColor="accent2" w:themeTint="97" w:sz="4" w:space="0"/>
          <w:bottom w:val="single" w:color="D99695" w:themeColor="accent2" w:themeTint="97" w:sz="4" w:space="0"/>
        </w:tcBorders>
      </w:tcPr>
    </w:tblStylePr>
    <w:tblStylePr w:type="band1Vert">
      <w:rPr>
        <w:rFonts w:ascii="Arial" w:hAnsi="Arial"/>
        <w:color w:val="404040"/>
        <w:sz w:val="22"/>
      </w:rPr>
      <w:tcPr>
        <w:tcBorders>
          <w:left w:val="single" w:color="D99695" w:themeColor="accent2" w:themeTint="97" w:sz="4" w:space="0"/>
          <w:right w:val="single" w:color="D99695" w:themeColor="accent2" w:themeTint="97" w:sz="4" w:space="0"/>
        </w:tcBorders>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Pr>
    </w:tblStylePr>
    <w:tblStylePr w:type="lastCol">
      <w:rPr>
        <w:b/>
        <w:color w:val="404040"/>
      </w:rPr>
    </w:tblStylePr>
    <w:tblStylePr w:type="lastRow">
      <w:rPr>
        <w:b/>
        <w:color w:val="404040"/>
      </w:rPr>
    </w:tblStylePr>
  </w:style>
  <w:style w:type="table" w:styleId="906" w:customStyle="1">
    <w:name w:val="List Table 3 - Accent 3"/>
    <w:basedOn w:val="805"/>
    <w:uiPriority w:val="99"/>
    <w:tblPr>
      <w:tblStyleRowBandSize w:val="1"/>
      <w:tblStyleColBandSize w:val="1"/>
      <w:tblInd w:w="0" w:type="dxa"/>
      <w:tblBorders>
        <w:top w:val="single" w:color="C3D69B" w:themeColor="accent3" w:themeTint="98" w:sz="4" w:space="0"/>
        <w:left w:val="single" w:color="C3D69B" w:themeColor="accent3" w:themeTint="98" w:sz="4" w:space="0"/>
        <w:bottom w:val="single" w:color="C3D69B" w:themeColor="accent3" w:themeTint="98" w:sz="4" w:space="0"/>
        <w:right w:val="single" w:color="C3D69B" w:themeColor="accent3" w:themeTint="98" w:sz="4" w:space="0"/>
      </w:tblBorders>
      <w:tblCellMar>
        <w:left w:w="108" w:type="dxa"/>
        <w:top w:w="0" w:type="dxa"/>
        <w:right w:w="108" w:type="dxa"/>
        <w:bottom w:w="0" w:type="dxa"/>
      </w:tblCellMar>
    </w:tblPr>
    <w:tblStylePr w:type="band1Horz">
      <w:rPr>
        <w:rFonts w:ascii="Arial" w:hAnsi="Arial"/>
        <w:color w:val="404040"/>
        <w:sz w:val="22"/>
      </w:rPr>
      <w:tcPr>
        <w:tcBorders>
          <w:top w:val="single" w:color="C3D69B" w:themeColor="accent3" w:themeTint="98" w:sz="4" w:space="0"/>
          <w:bottom w:val="single" w:color="C3D69B" w:themeColor="accent3" w:themeTint="98" w:sz="4" w:space="0"/>
        </w:tcBorders>
      </w:tcPr>
    </w:tblStylePr>
    <w:tblStylePr w:type="band1Vert">
      <w:rPr>
        <w:rFonts w:ascii="Arial" w:hAnsi="Arial"/>
        <w:color w:val="404040"/>
        <w:sz w:val="22"/>
      </w:rPr>
      <w:tcPr>
        <w:tcBorders>
          <w:left w:val="single" w:color="C3D69B" w:themeColor="accent3" w:themeTint="98" w:sz="4" w:space="0"/>
          <w:right w:val="single" w:color="C3D69B" w:themeColor="accent3" w:themeTint="98" w:sz="4" w:space="0"/>
        </w:tcBorders>
      </w:tcPr>
    </w:tblStylePr>
    <w:tblStylePr w:type="firstCol">
      <w:rPr>
        <w:b/>
        <w:color w:val="404040"/>
      </w:rPr>
    </w:tblStylePr>
    <w:tblStylePr w:type="firstRow">
      <w:rPr>
        <w:rFonts w:ascii="Arial" w:hAnsi="Arial"/>
        <w:b/>
        <w:color w:val="ffffff"/>
        <w:sz w:val="22"/>
      </w:rPr>
      <w:tcPr>
        <w:shd w:val="clear" w:color="c3d69b" w:themeColor="accent3" w:themeTint="98" w:fill="c3d69b" w:themeFill="accent3" w:themeFillTint="98"/>
      </w:tcPr>
    </w:tblStylePr>
    <w:tblStylePr w:type="lastCol">
      <w:rPr>
        <w:b/>
        <w:color w:val="404040"/>
      </w:rPr>
    </w:tblStylePr>
    <w:tblStylePr w:type="lastRow">
      <w:rPr>
        <w:b/>
        <w:color w:val="404040"/>
      </w:rPr>
    </w:tblStylePr>
  </w:style>
  <w:style w:type="table" w:styleId="907" w:customStyle="1">
    <w:name w:val="List Table 3 - Accent 4"/>
    <w:basedOn w:val="805"/>
    <w:uiPriority w:val="99"/>
    <w:tblPr>
      <w:tblStyleRowBandSize w:val="1"/>
      <w:tblStyleColBandSize w:val="1"/>
      <w:tblInd w:w="0" w:type="dxa"/>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CellMar>
        <w:left w:w="108" w:type="dxa"/>
        <w:top w:w="0" w:type="dxa"/>
        <w:right w:w="108" w:type="dxa"/>
        <w:bottom w:w="0" w:type="dxa"/>
      </w:tblCellMar>
    </w:tbl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Pr>
    </w:tblStylePr>
    <w:tblStylePr w:type="lastCol">
      <w:rPr>
        <w:b/>
        <w:color w:val="404040"/>
      </w:rPr>
    </w:tblStylePr>
    <w:tblStylePr w:type="lastRow">
      <w:rPr>
        <w:b/>
        <w:color w:val="404040"/>
      </w:rPr>
    </w:tblStylePr>
  </w:style>
  <w:style w:type="table" w:styleId="908" w:customStyle="1">
    <w:name w:val="List Table 3 - Accent 5"/>
    <w:basedOn w:val="805"/>
    <w:uiPriority w:val="99"/>
    <w:tblPr>
      <w:tblStyleRowBandSize w:val="1"/>
      <w:tblStyleColBandSize w:val="1"/>
      <w:tblInd w:w="0" w:type="dxa"/>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CellMar>
        <w:left w:w="108" w:type="dxa"/>
        <w:top w:w="0" w:type="dxa"/>
        <w:right w:w="108" w:type="dxa"/>
        <w:bottom w:w="0" w:type="dxa"/>
      </w:tblCellMar>
    </w:tbl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firstCol">
      <w:rPr>
        <w:b/>
        <w:color w:val="404040"/>
      </w:rPr>
    </w:tblStylePr>
    <w:tblStylePr w:type="firstRow">
      <w:rPr>
        <w:rFonts w:ascii="Arial" w:hAnsi="Arial"/>
        <w:b/>
        <w:color w:val="ffffff"/>
        <w:sz w:val="22"/>
      </w:rPr>
      <w:tcPr>
        <w:shd w:val="clear" w:color="92ccdc" w:themeColor="accent5" w:themeTint="9A" w:fill="92ccdc" w:themeFill="accent5" w:themeFillTint="9A"/>
      </w:tcPr>
    </w:tblStylePr>
    <w:tblStylePr w:type="lastCol">
      <w:rPr>
        <w:b/>
        <w:color w:val="404040"/>
      </w:rPr>
    </w:tblStylePr>
    <w:tblStylePr w:type="lastRow">
      <w:rPr>
        <w:b/>
        <w:color w:val="404040"/>
      </w:rPr>
    </w:tblStylePr>
  </w:style>
  <w:style w:type="table" w:styleId="909" w:customStyle="1">
    <w:name w:val="List Table 3 - Accent 6"/>
    <w:basedOn w:val="805"/>
    <w:uiPriority w:val="99"/>
    <w:tblPr>
      <w:tblStyleRowBandSize w:val="1"/>
      <w:tblStyleColBandSize w:val="1"/>
      <w:tblInd w:w="0" w:type="dxa"/>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CellMar>
        <w:left w:w="108" w:type="dxa"/>
        <w:top w:w="0" w:type="dxa"/>
        <w:right w:w="108" w:type="dxa"/>
        <w:bottom w:w="0" w:type="dxa"/>
      </w:tblCellMar>
    </w:tbl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firstCol">
      <w:rPr>
        <w:b/>
        <w:color w:val="404040"/>
      </w:rPr>
    </w:tblStylePr>
    <w:tblStylePr w:type="firstRow">
      <w:rPr>
        <w:rFonts w:ascii="Arial" w:hAnsi="Arial"/>
        <w:b/>
        <w:color w:val="ffffff"/>
        <w:sz w:val="22"/>
      </w:rPr>
      <w:tcPr>
        <w:shd w:val="clear" w:color="fac090" w:themeColor="accent6" w:themeTint="98" w:fill="fac090" w:themeFill="accent6" w:themeFillTint="98"/>
      </w:tcPr>
    </w:tblStylePr>
    <w:tblStylePr w:type="lastCol">
      <w:rPr>
        <w:b/>
        <w:color w:val="404040"/>
      </w:rPr>
    </w:tblStylePr>
    <w:tblStylePr w:type="lastRow">
      <w:rPr>
        <w:b/>
        <w:color w:val="404040"/>
      </w:rPr>
    </w:tblStylePr>
  </w:style>
  <w:style w:type="table" w:styleId="910" w:customStyle="1">
    <w:name w:val="List Table 4"/>
    <w:basedOn w:val="805"/>
    <w:uiPriority w:val="99"/>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CellMar>
        <w:left w:w="108" w:type="dxa"/>
        <w:top w:w="0" w:type="dxa"/>
        <w:right w:w="108" w:type="dxa"/>
        <w:bottom w:w="0" w:type="dxa"/>
      </w:tblCellMar>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911" w:customStyle="1">
    <w:name w:val="List Table 4 - Accent 1"/>
    <w:basedOn w:val="805"/>
    <w:uiPriority w:val="99"/>
    <w:tblPr>
      <w:tblStyleRowBandSize w:val="1"/>
      <w:tblStyleColBandSize w:val="1"/>
      <w:tblInd w:w="0" w:type="dxa"/>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CellMar>
        <w:left w:w="108" w:type="dxa"/>
        <w:top w:w="0" w:type="dxa"/>
        <w:right w:w="108" w:type="dxa"/>
        <w:bottom w:w="0" w:type="dxa"/>
      </w:tblCellMar>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912" w:customStyle="1">
    <w:name w:val="List Table 4 - Accent 2"/>
    <w:basedOn w:val="805"/>
    <w:uiPriority w:val="99"/>
    <w:tblPr>
      <w:tblStyleRowBandSize w:val="1"/>
      <w:tblStyleColBandSize w:val="1"/>
      <w:tblInd w:w="0" w:type="dxa"/>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tblBorders>
      <w:tblCellMar>
        <w:left w:w="108" w:type="dxa"/>
        <w:top w:w="0" w:type="dxa"/>
        <w:right w:w="108" w:type="dxa"/>
        <w:bottom w:w="0" w:type="dxa"/>
      </w:tblCellMar>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b/>
        <w:color w:val="404040"/>
      </w:rPr>
    </w:tblStylePr>
    <w:tblStylePr w:type="firstRow">
      <w:rPr>
        <w:rFonts w:ascii="Arial" w:hAnsi="Arial"/>
        <w:b/>
        <w:color w:val="ffffff"/>
        <w:sz w:val="22"/>
      </w:rPr>
      <w:tcPr>
        <w:shd w:val="clear" w:color="c0504d" w:themeColor="accent2" w:fill="c0504d" w:themeFill="accent2"/>
      </w:tcPr>
    </w:tblStylePr>
    <w:tblStylePr w:type="lastCol">
      <w:rPr>
        <w:b/>
        <w:color w:val="404040"/>
      </w:rPr>
    </w:tblStylePr>
    <w:tblStylePr w:type="lastRow">
      <w:rPr>
        <w:b/>
        <w:color w:val="404040"/>
      </w:rPr>
    </w:tblStylePr>
  </w:style>
  <w:style w:type="table" w:styleId="913" w:customStyle="1">
    <w:name w:val="List Table 4 - Accent 3"/>
    <w:basedOn w:val="805"/>
    <w:uiPriority w:val="99"/>
    <w:tblPr>
      <w:tblStyleRowBandSize w:val="1"/>
      <w:tblStyleColBandSize w:val="1"/>
      <w:tblInd w:w="0" w:type="dxa"/>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CellMar>
        <w:left w:w="108" w:type="dxa"/>
        <w:top w:w="0" w:type="dxa"/>
        <w:right w:w="108" w:type="dxa"/>
        <w:bottom w:w="0" w:type="dxa"/>
      </w:tblCellMar>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b/>
        <w:color w:val="404040"/>
      </w:rPr>
    </w:tblStylePr>
    <w:tblStylePr w:type="firstRow">
      <w:rPr>
        <w:rFonts w:ascii="Arial" w:hAnsi="Arial"/>
        <w:b/>
        <w:color w:val="ffffff"/>
        <w:sz w:val="22"/>
      </w:rPr>
      <w:tcPr>
        <w:shd w:val="clear" w:color="9bbb59" w:themeColor="accent3" w:fill="9bbb59" w:themeFill="accent3"/>
      </w:tcPr>
    </w:tblStylePr>
    <w:tblStylePr w:type="lastCol">
      <w:rPr>
        <w:b/>
        <w:color w:val="404040"/>
      </w:rPr>
    </w:tblStylePr>
    <w:tblStylePr w:type="lastRow">
      <w:rPr>
        <w:b/>
        <w:color w:val="404040"/>
      </w:rPr>
    </w:tblStylePr>
  </w:style>
  <w:style w:type="table" w:styleId="914" w:customStyle="1">
    <w:name w:val="List Table 4 - Accent 4"/>
    <w:basedOn w:val="805"/>
    <w:uiPriority w:val="99"/>
    <w:tblPr>
      <w:tblStyleRowBandSize w:val="1"/>
      <w:tblStyleColBandSize w:val="1"/>
      <w:tblInd w:w="0" w:type="dxa"/>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CellMar>
        <w:left w:w="108" w:type="dxa"/>
        <w:top w:w="0" w:type="dxa"/>
        <w:right w:w="108" w:type="dxa"/>
        <w:bottom w:w="0" w:type="dxa"/>
      </w:tblCellMar>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8064a2" w:themeColor="accent4" w:fill="8064a2" w:themeFill="accent4"/>
      </w:tcPr>
    </w:tblStylePr>
    <w:tblStylePr w:type="lastCol">
      <w:rPr>
        <w:b/>
        <w:color w:val="404040"/>
      </w:rPr>
    </w:tblStylePr>
    <w:tblStylePr w:type="lastRow">
      <w:rPr>
        <w:b/>
        <w:color w:val="404040"/>
      </w:rPr>
    </w:tblStylePr>
  </w:style>
  <w:style w:type="table" w:styleId="915" w:customStyle="1">
    <w:name w:val="List Table 4 - Accent 5"/>
    <w:basedOn w:val="805"/>
    <w:uiPriority w:val="99"/>
    <w:tblPr>
      <w:tblStyleRowBandSize w:val="1"/>
      <w:tblStyleColBandSize w:val="1"/>
      <w:tblInd w:w="0" w:type="dxa"/>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CellMar>
        <w:left w:w="108" w:type="dxa"/>
        <w:top w:w="0" w:type="dxa"/>
        <w:right w:w="108" w:type="dxa"/>
        <w:bottom w:w="0" w:type="dxa"/>
      </w:tblCellMar>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4bacc6" w:themeColor="accent5" w:fill="4bacc6" w:themeFill="accent5"/>
      </w:tcPr>
    </w:tblStylePr>
    <w:tblStylePr w:type="lastCol">
      <w:rPr>
        <w:b/>
        <w:color w:val="404040"/>
      </w:rPr>
    </w:tblStylePr>
    <w:tblStylePr w:type="lastRow">
      <w:rPr>
        <w:b/>
        <w:color w:val="404040"/>
      </w:rPr>
    </w:tblStylePr>
  </w:style>
  <w:style w:type="table" w:styleId="916" w:customStyle="1">
    <w:name w:val="List Table 4 - Accent 6"/>
    <w:basedOn w:val="805"/>
    <w:uiPriority w:val="99"/>
    <w:tblPr>
      <w:tblStyleRowBandSize w:val="1"/>
      <w:tblStyleColBandSize w:val="1"/>
      <w:tblInd w:w="0" w:type="dxa"/>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CellMar>
        <w:left w:w="108" w:type="dxa"/>
        <w:top w:w="0" w:type="dxa"/>
        <w:right w:w="108" w:type="dxa"/>
        <w:bottom w:w="0" w:type="dxa"/>
      </w:tblCellMar>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b/>
        <w:color w:val="404040"/>
      </w:rPr>
    </w:tblStylePr>
    <w:tblStylePr w:type="firstRow">
      <w:rPr>
        <w:rFonts w:ascii="Arial" w:hAnsi="Arial"/>
        <w:b/>
        <w:color w:val="ffffff"/>
        <w:sz w:val="22"/>
      </w:rPr>
      <w:tcPr>
        <w:shd w:val="clear" w:color="f79646" w:themeColor="accent6" w:fill="f79646" w:themeFill="accent6"/>
      </w:tcPr>
    </w:tblStylePr>
    <w:tblStylePr w:type="lastCol">
      <w:rPr>
        <w:b/>
        <w:color w:val="404040"/>
      </w:rPr>
    </w:tblStylePr>
    <w:tblStylePr w:type="lastRow">
      <w:rPr>
        <w:b/>
        <w:color w:val="404040"/>
      </w:rPr>
    </w:tblStylePr>
  </w:style>
  <w:style w:type="table" w:styleId="917" w:customStyle="1">
    <w:name w:val="List Table 5 Dark"/>
    <w:basedOn w:val="805"/>
    <w:uiPriority w:val="99"/>
    <w:tblPr>
      <w:tblStyleRowBandSize w:val="1"/>
      <w:tblStyleColBandSize w:val="1"/>
      <w:tblInd w:w="0" w:type="dxa"/>
      <w:tblBorders>
        <w:top w:val="single" w:color="7F7F7F" w:themeColor="text1" w:themeTint="80" w:sz="32" w:space="0"/>
        <w:left w:val="single" w:color="7F7F7F" w:themeColor="text1" w:themeTint="80" w:sz="32" w:space="0"/>
        <w:bottom w:val="single" w:color="7F7F7F" w:themeColor="text1" w:themeTint="80" w:sz="32" w:space="0"/>
        <w:right w:val="single" w:color="7F7F7F" w:themeColor="text1" w:themeTint="80" w:sz="32" w:space="0"/>
      </w:tblBorders>
      <w:shd w:val="clear" w:color="7f7f7f" w:themeColor="text1" w:themeTint="80" w:fill="7f7f7f" w:themeFill="text1" w:themeFillTint="80"/>
      <w:tblCellMar>
        <w:left w:w="108" w:type="dxa"/>
        <w:top w:w="0" w:type="dxa"/>
        <w:right w:w="108" w:type="dxa"/>
        <w:bottom w:w="0" w:type="dxa"/>
      </w:tblCellMar>
    </w:tblPr>
    <w:tblStylePr w:type="band1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1Vert">
      <w:tcPr>
        <w:shd w:val="clear" w:color="7f7f7f" w:themeColor="text1" w:themeTint="80" w:fill="7f7f7f" w:themeFill="text1" w:themeFillTint="80"/>
        <w:tcBorders>
          <w:left w:val="single" w:color="FFFFFF" w:themeColor="light1" w:sz="4" w:space="0"/>
          <w:right w:val="single" w:color="FFFFFF" w:themeColor="light1" w:sz="4" w:space="0"/>
        </w:tcBorders>
      </w:tcPr>
    </w:tblStylePr>
    <w:tblStylePr w:type="band2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7F7F7F" w:themeColor="text1" w:themeTint="80" w:sz="32" w:space="0"/>
          <w:right w:val="single" w:color="FFFFFF" w:themeColor="light1" w:sz="4" w:space="0"/>
        </w:tcBorders>
      </w:tcPr>
    </w:tblStylePr>
    <w:tblStylePr w:type="firstRow">
      <w:rPr>
        <w:rFonts w:ascii="Arial" w:hAnsi="Arial"/>
        <w:b/>
        <w:color w:val="ffffff" w:themeColor="light1"/>
        <w:sz w:val="22"/>
      </w:rPr>
      <w:tcPr>
        <w:shd w:val="clear" w:color="7f7f7f" w:themeColor="text1" w:themeTint="80" w:fill="7f7f7f" w:themeFill="text1" w:themeFillTint="80"/>
        <w:tcBorders>
          <w:top w:val="single" w:color="7F7F7F" w:themeColor="text1" w:themeTint="80" w:sz="32" w:space="0"/>
          <w:bottom w:val="single" w:color="FFFFFF" w:themeColor="light1" w:sz="12" w:space="0"/>
        </w:tcBorders>
      </w:tcPr>
    </w:tblStylePr>
    <w:tblStylePr w:type="lastCol">
      <w:tcPr>
        <w:tcBorders>
          <w:left w:val="single" w:color="FFFFFF" w:themeColor="light1" w:sz="4" w:space="0"/>
          <w:right w:val="single" w:color="7F7F7F" w:themeColor="text1" w:themeTint="80" w:sz="32" w:space="0"/>
        </w:tcBorders>
      </w:tcPr>
    </w:tblStylePr>
    <w:tblStylePr w:type="lastRow">
      <w:rPr>
        <w:rFonts w:ascii="Arial" w:hAnsi="Arial"/>
        <w:b/>
        <w:color w:val="ffffff" w:themeColor="light1"/>
        <w:sz w:val="22"/>
      </w:rPr>
    </w:tblStylePr>
  </w:style>
  <w:style w:type="table" w:styleId="918" w:customStyle="1">
    <w:name w:val="List Table 5 Dark - Accent 1"/>
    <w:basedOn w:val="805"/>
    <w:uiPriority w:val="99"/>
    <w:tblPr>
      <w:tblStyleRowBandSize w:val="1"/>
      <w:tblStyleColBandSize w:val="1"/>
      <w:tblInd w:w="0" w:type="dxa"/>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shd w:val="clear" w:color="4f81bd" w:themeColor="accent1" w:fill="4f81bd" w:themeFill="accent1"/>
      <w:tblCellMar>
        <w:left w:w="108" w:type="dxa"/>
        <w:top w:w="0" w:type="dxa"/>
        <w:right w:w="108" w:type="dxa"/>
        <w:bottom w:w="0" w:type="dxa"/>
      </w:tblCellMar>
    </w:tblPr>
    <w:tblStylePr w:type="band1Horz">
      <w:tcPr>
        <w:shd w:val="clear" w:color="4f81bd" w:themeColor="accent1" w:fill="4f81bd" w:themeFill="accent1"/>
        <w:tcBorders>
          <w:top w:val="single" w:color="FFFFFF" w:themeColor="light1" w:sz="4" w:space="0"/>
          <w:bottom w:val="single" w:color="FFFFFF" w:themeColor="light1" w:sz="4" w:space="0"/>
        </w:tcBorders>
      </w:tcPr>
    </w:tblStylePr>
    <w:tblStylePr w:type="band1Vert">
      <w:tcPr>
        <w:shd w:val="clear" w:color="4f81bd" w:themeColor="accent1" w:fill="4f81bd" w:themeFill="accent1"/>
        <w:tcBorders>
          <w:left w:val="single" w:color="FFFFFF" w:themeColor="light1" w:sz="4" w:space="0"/>
          <w:right w:val="single" w:color="FFFFFF" w:themeColor="light1" w:sz="4" w:space="0"/>
        </w:tcBorders>
      </w:tcPr>
    </w:tblStylePr>
    <w:tblStylePr w:type="band2Horz">
      <w:tcPr>
        <w:shd w:val="clear" w:color="4f81bd" w:themeColor="accent1" w:fill="4f81bd" w:themeFill="accent1"/>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4F81BD" w:themeColor="accent1" w:sz="32" w:space="0"/>
          <w:right w:val="single" w:color="FFFFFF" w:themeColor="light1" w:sz="4" w:space="0"/>
        </w:tcBorders>
      </w:tcPr>
    </w:tblStylePr>
    <w:tblStylePr w:type="firstRow">
      <w:rPr>
        <w:rFonts w:ascii="Arial" w:hAnsi="Arial"/>
        <w:b/>
        <w:color w:val="ffffff" w:themeColor="light1"/>
        <w:sz w:val="22"/>
      </w:rPr>
      <w:tcPr>
        <w:shd w:val="clear" w:color="4f81bd" w:themeColor="accent1" w:fill="4f81bd" w:themeFill="accent1"/>
        <w:tcBorders>
          <w:top w:val="single" w:color="4F81BD" w:themeColor="accent1" w:sz="32" w:space="0"/>
          <w:bottom w:val="single" w:color="FFFFFF" w:themeColor="light1" w:sz="12" w:space="0"/>
        </w:tcBorders>
      </w:tcPr>
    </w:tblStylePr>
    <w:tblStylePr w:type="lastCol">
      <w:tcPr>
        <w:tcBorders>
          <w:left w:val="single" w:color="FFFFFF" w:themeColor="light1" w:sz="4" w:space="0"/>
          <w:right w:val="single" w:color="4F81BD" w:themeColor="accent1" w:sz="32" w:space="0"/>
        </w:tcBorders>
      </w:tcPr>
    </w:tblStylePr>
    <w:tblStylePr w:type="lastRow">
      <w:rPr>
        <w:rFonts w:ascii="Arial" w:hAnsi="Arial"/>
        <w:b/>
        <w:color w:val="ffffff" w:themeColor="light1"/>
        <w:sz w:val="22"/>
      </w:rPr>
    </w:tblStylePr>
  </w:style>
  <w:style w:type="table" w:styleId="919" w:customStyle="1">
    <w:name w:val="List Table 5 Dark - Accent 2"/>
    <w:basedOn w:val="805"/>
    <w:uiPriority w:val="99"/>
    <w:tblPr>
      <w:tblStyleRowBandSize w:val="1"/>
      <w:tblStyleColBandSize w:val="1"/>
      <w:tblInd w:w="0" w:type="dxa"/>
      <w:tblBorders>
        <w:top w:val="single" w:color="D99695" w:themeColor="accent2" w:themeTint="97" w:sz="32" w:space="0"/>
        <w:left w:val="single" w:color="D99695" w:themeColor="accent2" w:themeTint="97" w:sz="32" w:space="0"/>
        <w:bottom w:val="single" w:color="D99695" w:themeColor="accent2" w:themeTint="97" w:sz="32" w:space="0"/>
        <w:right w:val="single" w:color="D99695" w:themeColor="accent2" w:themeTint="97" w:sz="32" w:space="0"/>
      </w:tblBorders>
      <w:shd w:val="clear" w:color="d99695" w:themeColor="accent2" w:themeTint="97" w:fill="d99695" w:themeFill="accent2" w:themeFillTint="97"/>
      <w:tblCellMar>
        <w:left w:w="108" w:type="dxa"/>
        <w:top w:w="0" w:type="dxa"/>
        <w:right w:w="108" w:type="dxa"/>
        <w:bottom w:w="0" w:type="dxa"/>
      </w:tblCellMar>
    </w:tblPr>
    <w:tblStylePr w:type="band1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1Vert">
      <w:tcPr>
        <w:shd w:val="clear" w:color="d99695" w:themeColor="accent2" w:themeTint="97" w:fill="d99695" w:themeFill="accent2" w:themeFillTint="97"/>
        <w:tcBorders>
          <w:left w:val="single" w:color="FFFFFF" w:themeColor="light1" w:sz="4" w:space="0"/>
          <w:right w:val="single" w:color="FFFFFF" w:themeColor="light1" w:sz="4" w:space="0"/>
        </w:tcBorders>
      </w:tcPr>
    </w:tblStylePr>
    <w:tblStylePr w:type="band2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D99695" w:themeColor="accent2" w:themeTint="97" w:sz="32" w:space="0"/>
          <w:right w:val="single" w:color="FFFFFF" w:themeColor="light1" w:sz="4" w:space="0"/>
        </w:tcBorders>
      </w:tcPr>
    </w:tblStylePr>
    <w:tblStylePr w:type="firstRow">
      <w:rPr>
        <w:rFonts w:ascii="Arial" w:hAnsi="Arial"/>
        <w:b/>
        <w:color w:val="ffffff" w:themeColor="light1"/>
        <w:sz w:val="22"/>
      </w:rPr>
      <w:tcPr>
        <w:shd w:val="clear" w:color="d99695" w:themeColor="accent2" w:themeTint="97" w:fill="d99695" w:themeFill="accent2" w:themeFillTint="97"/>
        <w:tcBorders>
          <w:top w:val="single" w:color="D99695" w:themeColor="accent2" w:themeTint="97" w:sz="32" w:space="0"/>
          <w:bottom w:val="single" w:color="FFFFFF" w:themeColor="light1" w:sz="12" w:space="0"/>
        </w:tcBorders>
      </w:tcPr>
    </w:tblStylePr>
    <w:tblStylePr w:type="lastCol">
      <w:tcPr>
        <w:tcBorders>
          <w:left w:val="single" w:color="FFFFFF" w:themeColor="light1" w:sz="4" w:space="0"/>
          <w:right w:val="single" w:color="D99695" w:themeColor="accent2" w:themeTint="97" w:sz="32" w:space="0"/>
        </w:tcBorders>
      </w:tcPr>
    </w:tblStylePr>
    <w:tblStylePr w:type="lastRow">
      <w:rPr>
        <w:rFonts w:ascii="Arial" w:hAnsi="Arial"/>
        <w:b/>
        <w:color w:val="ffffff" w:themeColor="light1"/>
        <w:sz w:val="22"/>
      </w:rPr>
    </w:tblStylePr>
  </w:style>
  <w:style w:type="table" w:styleId="920" w:customStyle="1">
    <w:name w:val="List Table 5 Dark - Accent 3"/>
    <w:basedOn w:val="805"/>
    <w:uiPriority w:val="99"/>
    <w:tblPr>
      <w:tblStyleRowBandSize w:val="1"/>
      <w:tblStyleColBandSize w:val="1"/>
      <w:tblInd w:w="0" w:type="dxa"/>
      <w:tblBorders>
        <w:top w:val="single" w:color="C3D69B" w:themeColor="accent3" w:themeTint="98" w:sz="32" w:space="0"/>
        <w:left w:val="single" w:color="C3D69B" w:themeColor="accent3" w:themeTint="98" w:sz="32" w:space="0"/>
        <w:bottom w:val="single" w:color="C3D69B" w:themeColor="accent3" w:themeTint="98" w:sz="32" w:space="0"/>
        <w:right w:val="single" w:color="C3D69B" w:themeColor="accent3" w:themeTint="98" w:sz="32" w:space="0"/>
      </w:tblBorders>
      <w:shd w:val="clear" w:color="c3d69b" w:themeColor="accent3" w:themeTint="98" w:fill="c3d69b" w:themeFill="accent3" w:themeFillTint="98"/>
      <w:tblCellMar>
        <w:left w:w="108" w:type="dxa"/>
        <w:top w:w="0" w:type="dxa"/>
        <w:right w:w="108" w:type="dxa"/>
        <w:bottom w:w="0" w:type="dxa"/>
      </w:tblCellMar>
    </w:tblPr>
    <w:tblStylePr w:type="band1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1Vert">
      <w:tcPr>
        <w:shd w:val="clear" w:color="c3d69b" w:themeColor="accent3" w:themeTint="98" w:fill="c3d69b" w:themeFill="accent3" w:themeFillTint="98"/>
        <w:tcBorders>
          <w:left w:val="single" w:color="FFFFFF" w:themeColor="light1" w:sz="4" w:space="0"/>
          <w:right w:val="single" w:color="FFFFFF" w:themeColor="light1" w:sz="4" w:space="0"/>
        </w:tcBorders>
      </w:tcPr>
    </w:tblStylePr>
    <w:tblStylePr w:type="band2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C3D69B" w:themeColor="accent3" w:themeTint="98" w:sz="32" w:space="0"/>
          <w:right w:val="single" w:color="FFFFFF" w:themeColor="light1" w:sz="4" w:space="0"/>
        </w:tcBorders>
      </w:tcPr>
    </w:tblStylePr>
    <w:tblStylePr w:type="firstRow">
      <w:rPr>
        <w:rFonts w:ascii="Arial" w:hAnsi="Arial"/>
        <w:b/>
        <w:color w:val="ffffff" w:themeColor="light1"/>
        <w:sz w:val="22"/>
      </w:rPr>
      <w:tcPr>
        <w:shd w:val="clear" w:color="c3d69b" w:themeColor="accent3" w:themeTint="98" w:fill="c3d69b" w:themeFill="accent3" w:themeFillTint="98"/>
        <w:tcBorders>
          <w:top w:val="single" w:color="C3D69B" w:themeColor="accent3" w:themeTint="98" w:sz="32" w:space="0"/>
          <w:bottom w:val="single" w:color="FFFFFF" w:themeColor="light1" w:sz="12" w:space="0"/>
        </w:tcBorders>
      </w:tcPr>
    </w:tblStylePr>
    <w:tblStylePr w:type="lastCol">
      <w:tcPr>
        <w:tcBorders>
          <w:left w:val="single" w:color="FFFFFF" w:themeColor="light1" w:sz="4" w:space="0"/>
          <w:right w:val="single" w:color="C3D69B" w:themeColor="accent3" w:themeTint="98" w:sz="32" w:space="0"/>
        </w:tcBorders>
      </w:tcPr>
    </w:tblStylePr>
    <w:tblStylePr w:type="lastRow">
      <w:rPr>
        <w:rFonts w:ascii="Arial" w:hAnsi="Arial"/>
        <w:b/>
        <w:color w:val="ffffff" w:themeColor="light1"/>
        <w:sz w:val="22"/>
      </w:rPr>
    </w:tblStylePr>
  </w:style>
  <w:style w:type="table" w:styleId="921" w:customStyle="1">
    <w:name w:val="List Table 5 Dark - Accent 4"/>
    <w:basedOn w:val="805"/>
    <w:uiPriority w:val="99"/>
    <w:tblPr>
      <w:tblStyleRowBandSize w:val="1"/>
      <w:tblStyleColBandSize w:val="1"/>
      <w:tblInd w:w="0" w:type="dxa"/>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shd w:val="clear" w:color="b2a1c6" w:themeColor="accent4" w:themeTint="9A" w:fill="b2a1c6" w:themeFill="accent4" w:themeFillTint="9A"/>
      <w:tblCellMar>
        <w:left w:w="108" w:type="dxa"/>
        <w:top w:w="0" w:type="dxa"/>
        <w:right w:w="108" w:type="dxa"/>
        <w:bottom w:w="0" w:type="dxa"/>
      </w:tblCellMar>
    </w:tblPr>
    <w:tblStylePr w:type="band1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1Vert">
      <w:tcPr>
        <w:shd w:val="clear" w:color="b2a1c6" w:themeColor="accent4" w:themeTint="9A" w:fill="b2a1c6" w:themeFill="accent4" w:themeFillTint="9A"/>
        <w:tcBorders>
          <w:left w:val="single" w:color="FFFFFF" w:themeColor="light1" w:sz="4" w:space="0"/>
          <w:right w:val="single" w:color="FFFFFF" w:themeColor="light1" w:sz="4" w:space="0"/>
        </w:tcBorders>
      </w:tcPr>
    </w:tblStylePr>
    <w:tblStylePr w:type="band2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B2A1C6" w:themeColor="accent4" w:themeTint="9A" w:sz="32" w:space="0"/>
          <w:right w:val="single" w:color="FFFFFF" w:themeColor="light1" w:sz="4" w:space="0"/>
        </w:tcBorders>
      </w:tcPr>
    </w:tblStylePr>
    <w:tblStylePr w:type="firstRow">
      <w:rPr>
        <w:rFonts w:ascii="Arial" w:hAnsi="Arial"/>
        <w:b/>
        <w:color w:val="ffffff" w:themeColor="light1"/>
        <w:sz w:val="22"/>
      </w:rPr>
      <w:tcPr>
        <w:shd w:val="clear" w:color="b2a1c6" w:themeColor="accent4" w:themeTint="9A" w:fill="b2a1c6" w:themeFill="accent4" w:themeFillTint="9A"/>
        <w:tcBorders>
          <w:top w:val="single" w:color="B2A1C6" w:themeColor="accent4" w:themeTint="9A" w:sz="32" w:space="0"/>
          <w:bottom w:val="single" w:color="FFFFFF" w:themeColor="light1" w:sz="12" w:space="0"/>
        </w:tcBorders>
      </w:tcPr>
    </w:tblStylePr>
    <w:tblStylePr w:type="lastCol">
      <w:tcPr>
        <w:tcBorders>
          <w:left w:val="single" w:color="FFFFFF" w:themeColor="light1" w:sz="4" w:space="0"/>
          <w:right w:val="single" w:color="B2A1C6" w:themeColor="accent4" w:themeTint="9A" w:sz="32" w:space="0"/>
        </w:tcBorders>
      </w:tcPr>
    </w:tblStylePr>
    <w:tblStylePr w:type="lastRow">
      <w:rPr>
        <w:rFonts w:ascii="Arial" w:hAnsi="Arial"/>
        <w:b/>
        <w:color w:val="ffffff" w:themeColor="light1"/>
        <w:sz w:val="22"/>
      </w:rPr>
    </w:tblStylePr>
  </w:style>
  <w:style w:type="table" w:styleId="922" w:customStyle="1">
    <w:name w:val="List Table 5 Dark - Accent 5"/>
    <w:basedOn w:val="805"/>
    <w:uiPriority w:val="99"/>
    <w:tblPr>
      <w:tblStyleRowBandSize w:val="1"/>
      <w:tblStyleColBandSize w:val="1"/>
      <w:tblInd w:w="0" w:type="dxa"/>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shd w:val="clear" w:color="92ccdc" w:themeColor="accent5" w:themeTint="9A" w:fill="92ccdc" w:themeFill="accent5" w:themeFillTint="9A"/>
      <w:tblCellMar>
        <w:left w:w="108" w:type="dxa"/>
        <w:top w:w="0" w:type="dxa"/>
        <w:right w:w="108" w:type="dxa"/>
        <w:bottom w:w="0" w:type="dxa"/>
      </w:tblCellMar>
    </w:tblPr>
    <w:tblStylePr w:type="band1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1Vert">
      <w:tcPr>
        <w:shd w:val="clear" w:color="92ccdc" w:themeColor="accent5" w:themeTint="9A" w:fill="92ccdc" w:themeFill="accent5" w:themeFillTint="9A"/>
        <w:tcBorders>
          <w:left w:val="single" w:color="FFFFFF" w:themeColor="light1" w:sz="4" w:space="0"/>
          <w:right w:val="single" w:color="FFFFFF" w:themeColor="light1" w:sz="4" w:space="0"/>
        </w:tcBorders>
      </w:tcPr>
    </w:tblStylePr>
    <w:tblStylePr w:type="band2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92CCDC" w:themeColor="accent5" w:themeTint="9A" w:sz="32" w:space="0"/>
          <w:right w:val="single" w:color="FFFFFF" w:themeColor="light1" w:sz="4" w:space="0"/>
        </w:tcBorders>
      </w:tcPr>
    </w:tblStylePr>
    <w:tblStylePr w:type="firstRow">
      <w:rPr>
        <w:rFonts w:ascii="Arial" w:hAnsi="Arial"/>
        <w:b/>
        <w:color w:val="ffffff" w:themeColor="light1"/>
        <w:sz w:val="22"/>
      </w:rPr>
      <w:tcPr>
        <w:shd w:val="clear" w:color="92ccdc" w:themeColor="accent5" w:themeTint="9A" w:fill="92ccdc" w:themeFill="accent5" w:themeFillTint="9A"/>
        <w:tcBorders>
          <w:top w:val="single" w:color="92CCDC" w:themeColor="accent5" w:themeTint="9A" w:sz="32" w:space="0"/>
          <w:bottom w:val="single" w:color="FFFFFF" w:themeColor="light1" w:sz="12" w:space="0"/>
        </w:tcBorders>
      </w:tcPr>
    </w:tblStylePr>
    <w:tblStylePr w:type="lastCol">
      <w:tcPr>
        <w:tcBorders>
          <w:left w:val="single" w:color="FFFFFF" w:themeColor="light1" w:sz="4" w:space="0"/>
          <w:right w:val="single" w:color="92CCDC" w:themeColor="accent5" w:themeTint="9A" w:sz="32" w:space="0"/>
        </w:tcBorders>
      </w:tcPr>
    </w:tblStylePr>
    <w:tblStylePr w:type="lastRow">
      <w:rPr>
        <w:rFonts w:ascii="Arial" w:hAnsi="Arial"/>
        <w:b/>
        <w:color w:val="ffffff" w:themeColor="light1"/>
        <w:sz w:val="22"/>
      </w:rPr>
    </w:tblStylePr>
  </w:style>
  <w:style w:type="table" w:styleId="923" w:customStyle="1">
    <w:name w:val="List Table 5 Dark - Accent 6"/>
    <w:basedOn w:val="805"/>
    <w:uiPriority w:val="99"/>
    <w:tblPr>
      <w:tblStyleRowBandSize w:val="1"/>
      <w:tblStyleColBandSize w:val="1"/>
      <w:tblInd w:w="0" w:type="dxa"/>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shd w:val="clear" w:color="fac090" w:themeColor="accent6" w:themeTint="98" w:fill="fac090" w:themeFill="accent6" w:themeFillTint="98"/>
      <w:tblCellMar>
        <w:left w:w="108" w:type="dxa"/>
        <w:top w:w="0" w:type="dxa"/>
        <w:right w:w="108" w:type="dxa"/>
        <w:bottom w:w="0" w:type="dxa"/>
      </w:tblCellMar>
    </w:tblPr>
    <w:tblStylePr w:type="band1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1Vert">
      <w:tcPr>
        <w:shd w:val="clear" w:color="fac090" w:themeColor="accent6" w:themeTint="98" w:fill="fac090" w:themeFill="accent6" w:themeFillTint="98"/>
        <w:tcBorders>
          <w:left w:val="single" w:color="FFFFFF" w:themeColor="light1" w:sz="4" w:space="0"/>
          <w:right w:val="single" w:color="FFFFFF" w:themeColor="light1" w:sz="4" w:space="0"/>
        </w:tcBorders>
      </w:tcPr>
    </w:tblStylePr>
    <w:tblStylePr w:type="band2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FAC090" w:themeColor="accent6" w:themeTint="98" w:sz="32" w:space="0"/>
          <w:right w:val="single" w:color="FFFFFF" w:themeColor="light1" w:sz="4" w:space="0"/>
        </w:tcBorders>
      </w:tcPr>
    </w:tblStylePr>
    <w:tblStylePr w:type="firstRow">
      <w:rPr>
        <w:rFonts w:ascii="Arial" w:hAnsi="Arial"/>
        <w:b/>
        <w:color w:val="ffffff" w:themeColor="light1"/>
        <w:sz w:val="22"/>
      </w:rPr>
      <w:tcPr>
        <w:shd w:val="clear" w:color="fac090" w:themeColor="accent6" w:themeTint="98" w:fill="fac090" w:themeFill="accent6" w:themeFillTint="98"/>
        <w:tcBorders>
          <w:top w:val="single" w:color="FAC090" w:themeColor="accent6" w:themeTint="98" w:sz="32" w:space="0"/>
          <w:bottom w:val="single" w:color="FFFFFF" w:themeColor="light1" w:sz="12" w:space="0"/>
        </w:tcBorders>
      </w:tcPr>
    </w:tblStylePr>
    <w:tblStylePr w:type="lastCol">
      <w:tcPr>
        <w:tcBorders>
          <w:left w:val="single" w:color="FFFFFF" w:themeColor="light1" w:sz="4" w:space="0"/>
          <w:right w:val="single" w:color="FAC090" w:themeColor="accent6" w:themeTint="98" w:sz="32" w:space="0"/>
        </w:tcBorders>
      </w:tcPr>
    </w:tblStylePr>
    <w:tblStylePr w:type="lastRow">
      <w:rPr>
        <w:rFonts w:ascii="Arial" w:hAnsi="Arial"/>
        <w:b/>
        <w:color w:val="ffffff" w:themeColor="light1"/>
        <w:sz w:val="22"/>
      </w:rPr>
    </w:tblStylePr>
  </w:style>
  <w:style w:type="table" w:styleId="924" w:customStyle="1">
    <w:name w:val="List Table 6 Colorful"/>
    <w:basedOn w:val="805"/>
    <w:uiPriority w:val="99"/>
    <w:tblPr>
      <w:tblStyleRowBandSize w:val="1"/>
      <w:tblStyleColBandSize w:val="1"/>
      <w:tblInd w:w="0" w:type="dxa"/>
      <w:tblBorders>
        <w:top w:val="single" w:color="7F7F7F" w:themeColor="text1" w:themeTint="80" w:sz="4" w:space="0"/>
        <w:bottom w:val="single" w:color="7F7F7F" w:themeColor="text1" w:themeTint="80" w:sz="4" w:space="0"/>
      </w:tblBorders>
      <w:tblCellMar>
        <w:left w:w="108" w:type="dxa"/>
        <w:top w:w="0" w:type="dxa"/>
        <w:right w:w="108" w:type="dxa"/>
        <w:bottom w:w="0" w:type="dxa"/>
      </w:tblCellMar>
    </w:tblPr>
    <w:tblStylePr w:type="band1Horz">
      <w:rPr>
        <w:rFonts w:ascii="Arial" w:hAnsi="Arial"/>
        <w:color w:val="000000" w:themeColor="text1"/>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themeColor="text1" w:themeTint="80" w:sz="4" w:space="0"/>
        </w:tcBorders>
      </w:tcPr>
    </w:tblStylePr>
    <w:tblStylePr w:type="lastCol">
      <w:rPr>
        <w:b/>
        <w:color w:val="000000" w:themeColor="text1"/>
      </w:rPr>
    </w:tblStylePr>
    <w:tblStylePr w:type="lastRow">
      <w:rPr>
        <w:b/>
        <w:color w:val="000000" w:themeColor="text1"/>
      </w:rPr>
      <w:tcPr>
        <w:tcBorders>
          <w:top w:val="single" w:color="7F7F7F" w:themeColor="text1" w:themeTint="80" w:sz="4" w:space="0"/>
        </w:tcBorders>
      </w:tcPr>
    </w:tblStylePr>
  </w:style>
  <w:style w:type="table" w:styleId="925" w:customStyle="1">
    <w:name w:val="List Table 6 Colorful - Accent 1"/>
    <w:basedOn w:val="805"/>
    <w:uiPriority w:val="99"/>
    <w:tblPr>
      <w:tblStyleRowBandSize w:val="1"/>
      <w:tblStyleColBandSize w:val="1"/>
      <w:tblInd w:w="0" w:type="dxa"/>
      <w:tblBorders>
        <w:top w:val="single" w:color="4F81BD" w:themeColor="accent1" w:sz="4" w:space="0"/>
        <w:bottom w:val="single" w:color="4F81BD" w:themeColor="accent1" w:sz="4" w:space="0"/>
      </w:tblBorders>
      <w:tblCellMar>
        <w:left w:w="108" w:type="dxa"/>
        <w:top w:w="0" w:type="dxa"/>
        <w:right w:w="108" w:type="dxa"/>
        <w:bottom w:w="0" w:type="dxa"/>
      </w:tblCellMar>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b/>
        <w:color w:val="2a4a71" w:themeColor="accent1" w:themeShade="95"/>
      </w:rPr>
    </w:tblStylePr>
    <w:tblStylePr w:type="firstRow">
      <w:rPr>
        <w:b/>
        <w:color w:val="2a4a71" w:themeColor="accent1" w:themeShade="95"/>
      </w:rPr>
      <w:tcPr>
        <w:tcBorders>
          <w:bottom w:val="single" w:color="4F81BD" w:themeColor="accent1" w:sz="4" w:space="0"/>
        </w:tcBorders>
      </w:tcPr>
    </w:tblStylePr>
    <w:tblStylePr w:type="lastCol">
      <w:rPr>
        <w:b/>
        <w:color w:val="2a4a71" w:themeColor="accent1" w:themeShade="95"/>
      </w:rPr>
    </w:tblStylePr>
    <w:tblStylePr w:type="lastRow">
      <w:rPr>
        <w:b/>
        <w:color w:val="2a4a71" w:themeColor="accent1" w:themeShade="95"/>
      </w:rPr>
      <w:tcPr>
        <w:tcBorders>
          <w:top w:val="single" w:color="4F81BD" w:themeColor="accent1" w:sz="4" w:space="0"/>
        </w:tcBorders>
      </w:tcPr>
    </w:tblStylePr>
  </w:style>
  <w:style w:type="table" w:styleId="926" w:customStyle="1">
    <w:name w:val="List Table 6 Colorful - Accent 2"/>
    <w:basedOn w:val="805"/>
    <w:uiPriority w:val="99"/>
    <w:tblPr>
      <w:tblStyleRowBandSize w:val="1"/>
      <w:tblStyleColBandSize w:val="1"/>
      <w:tblInd w:w="0" w:type="dxa"/>
      <w:tblBorders>
        <w:top w:val="single" w:color="D99695" w:themeColor="accent2" w:themeTint="97" w:sz="4" w:space="0"/>
        <w:bottom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4" w:space="0"/>
        </w:tcBorders>
      </w:tcPr>
    </w:tblStylePr>
    <w:tblStylePr w:type="lastCol">
      <w:rPr>
        <w:b/>
        <w:color w:val="d99695" w:themeColor="accent2" w:themeTint="97" w:themeShade="95"/>
      </w:rPr>
    </w:tblStylePr>
    <w:tblStylePr w:type="lastRow">
      <w:rPr>
        <w:b/>
        <w:color w:val="d99695" w:themeColor="accent2" w:themeTint="97" w:themeShade="95"/>
      </w:rPr>
      <w:tcPr>
        <w:tcBorders>
          <w:top w:val="single" w:color="D99695" w:themeColor="accent2" w:themeTint="97" w:sz="4" w:space="0"/>
        </w:tcBorders>
      </w:tcPr>
    </w:tblStylePr>
  </w:style>
  <w:style w:type="table" w:styleId="927" w:customStyle="1">
    <w:name w:val="List Table 6 Colorful - Accent 3"/>
    <w:basedOn w:val="805"/>
    <w:uiPriority w:val="99"/>
    <w:tblPr>
      <w:tblStyleRowBandSize w:val="1"/>
      <w:tblStyleColBandSize w:val="1"/>
      <w:tblInd w:w="0" w:type="dxa"/>
      <w:tblBorders>
        <w:top w:val="single" w:color="C3D69B" w:themeColor="accent3" w:themeTint="98" w:sz="4" w:space="0"/>
        <w:bottom w:val="single" w:color="C3D69B" w:themeColor="accent3" w:themeTint="98" w:sz="4" w:space="0"/>
      </w:tblBorders>
      <w:tblCellMar>
        <w:left w:w="108" w:type="dxa"/>
        <w:top w:w="0" w:type="dxa"/>
        <w:right w:w="108" w:type="dxa"/>
        <w:bottom w:w="0" w:type="dxa"/>
      </w:tblCellMar>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b/>
        <w:color w:val="c3d69b" w:themeColor="accent3" w:themeTint="98" w:themeShade="95"/>
      </w:rPr>
    </w:tblStylePr>
    <w:tblStylePr w:type="firstRow">
      <w:rPr>
        <w:b/>
        <w:color w:val="c3d69b" w:themeColor="accent3" w:themeTint="98" w:themeShade="95"/>
      </w:rPr>
      <w:tcPr>
        <w:tcBorders>
          <w:bottom w:val="single" w:color="C3D69B" w:themeColor="accent3" w:themeTint="98" w:sz="4" w:space="0"/>
        </w:tcBorders>
      </w:tcPr>
    </w:tblStylePr>
    <w:tblStylePr w:type="lastCol">
      <w:rPr>
        <w:b/>
        <w:color w:val="c3d69b" w:themeColor="accent3" w:themeTint="98" w:themeShade="95"/>
      </w:rPr>
    </w:tblStylePr>
    <w:tblStylePr w:type="lastRow">
      <w:rPr>
        <w:b/>
        <w:color w:val="c3d69b" w:themeColor="accent3" w:themeTint="98" w:themeShade="95"/>
      </w:rPr>
      <w:tcPr>
        <w:tcBorders>
          <w:top w:val="single" w:color="C3D69B" w:themeColor="accent3" w:themeTint="98" w:sz="4" w:space="0"/>
        </w:tcBorders>
      </w:tcPr>
    </w:tblStylePr>
  </w:style>
  <w:style w:type="table" w:styleId="928" w:customStyle="1">
    <w:name w:val="List Table 6 Colorful - Accent 4"/>
    <w:basedOn w:val="805"/>
    <w:uiPriority w:val="99"/>
    <w:tblPr>
      <w:tblStyleRowBandSize w:val="1"/>
      <w:tblStyleColBandSize w:val="1"/>
      <w:tblInd w:w="0" w:type="dxa"/>
      <w:tblBorders>
        <w:top w:val="single" w:color="B2A1C6" w:themeColor="accent4" w:themeTint="9A" w:sz="4" w:space="0"/>
        <w:bottom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4" w:space="0"/>
        </w:tcBorders>
      </w:tcPr>
    </w:tblStylePr>
    <w:tblStylePr w:type="lastCol">
      <w:rPr>
        <w:b/>
        <w:color w:val="b2a1c6" w:themeColor="accent4" w:themeTint="9A" w:themeShade="95"/>
      </w:rPr>
    </w:tblStylePr>
    <w:tblStylePr w:type="lastRow">
      <w:rPr>
        <w:b/>
        <w:color w:val="b2a1c6" w:themeColor="accent4" w:themeTint="9A" w:themeShade="95"/>
      </w:rPr>
      <w:tcPr>
        <w:tcBorders>
          <w:top w:val="single" w:color="B2A1C6" w:themeColor="accent4" w:themeTint="9A" w:sz="4" w:space="0"/>
        </w:tcBorders>
      </w:tcPr>
    </w:tblStylePr>
  </w:style>
  <w:style w:type="table" w:styleId="929" w:customStyle="1">
    <w:name w:val="List Table 6 Colorful - Accent 5"/>
    <w:basedOn w:val="805"/>
    <w:uiPriority w:val="99"/>
    <w:tblPr>
      <w:tblStyleRowBandSize w:val="1"/>
      <w:tblStyleColBandSize w:val="1"/>
      <w:tblInd w:w="0" w:type="dxa"/>
      <w:tblBorders>
        <w:top w:val="single" w:color="92CCDC" w:themeColor="accent5" w:themeTint="9A" w:sz="4" w:space="0"/>
        <w:bottom w:val="single" w:color="92CCDC" w:themeColor="accent5" w:themeTint="9A" w:sz="4" w:space="0"/>
      </w:tblBorders>
      <w:tblCellMar>
        <w:left w:w="108" w:type="dxa"/>
        <w:top w:w="0" w:type="dxa"/>
        <w:right w:w="108" w:type="dxa"/>
        <w:bottom w:w="0" w:type="dxa"/>
      </w:tblCellMar>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b/>
        <w:color w:val="92ccdc" w:themeColor="accent5" w:themeTint="9A" w:themeShade="95"/>
      </w:rPr>
    </w:tblStylePr>
    <w:tblStylePr w:type="firstRow">
      <w:rPr>
        <w:b/>
        <w:color w:val="92ccdc" w:themeColor="accent5" w:themeTint="9A" w:themeShade="95"/>
      </w:rPr>
      <w:tcPr>
        <w:tcBorders>
          <w:bottom w:val="single" w:color="92CCDC" w:themeColor="accent5" w:themeTint="9A" w:sz="4" w:space="0"/>
        </w:tcBorders>
      </w:tcPr>
    </w:tblStylePr>
    <w:tblStylePr w:type="lastCol">
      <w:rPr>
        <w:b/>
        <w:color w:val="92ccdc" w:themeColor="accent5" w:themeTint="9A" w:themeShade="95"/>
      </w:rPr>
    </w:tblStylePr>
    <w:tblStylePr w:type="lastRow">
      <w:rPr>
        <w:b/>
        <w:color w:val="92ccdc" w:themeColor="accent5" w:themeTint="9A" w:themeShade="95"/>
      </w:rPr>
      <w:tcPr>
        <w:tcBorders>
          <w:top w:val="single" w:color="92CCDC" w:themeColor="accent5" w:themeTint="9A" w:sz="4" w:space="0"/>
        </w:tcBorders>
      </w:tcPr>
    </w:tblStylePr>
  </w:style>
  <w:style w:type="table" w:styleId="930" w:customStyle="1">
    <w:name w:val="List Table 6 Colorful - Accent 6"/>
    <w:basedOn w:val="805"/>
    <w:uiPriority w:val="99"/>
    <w:tblPr>
      <w:tblStyleRowBandSize w:val="1"/>
      <w:tblStyleColBandSize w:val="1"/>
      <w:tblInd w:w="0" w:type="dxa"/>
      <w:tblBorders>
        <w:top w:val="single" w:color="FAC090" w:themeColor="accent6" w:themeTint="98" w:sz="4" w:space="0"/>
        <w:bottom w:val="single" w:color="FAC090" w:themeColor="accent6" w:themeTint="98" w:sz="4" w:space="0"/>
      </w:tblBorders>
      <w:tblCellMar>
        <w:left w:w="108" w:type="dxa"/>
        <w:top w:w="0" w:type="dxa"/>
        <w:right w:w="108" w:type="dxa"/>
        <w:bottom w:w="0" w:type="dxa"/>
      </w:tblCellMar>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b/>
        <w:color w:val="fac090" w:themeColor="accent6" w:themeTint="98" w:themeShade="95"/>
      </w:rPr>
    </w:tblStylePr>
    <w:tblStylePr w:type="firstRow">
      <w:rPr>
        <w:b/>
        <w:color w:val="fac090" w:themeColor="accent6" w:themeTint="98" w:themeShade="95"/>
      </w:rPr>
      <w:tcPr>
        <w:tcBorders>
          <w:bottom w:val="single" w:color="FAC090" w:themeColor="accent6" w:themeTint="98" w:sz="4" w:space="0"/>
        </w:tcBorders>
      </w:tcPr>
    </w:tblStylePr>
    <w:tblStylePr w:type="lastCol">
      <w:rPr>
        <w:b/>
        <w:color w:val="fac090" w:themeColor="accent6" w:themeTint="98" w:themeShade="95"/>
      </w:rPr>
    </w:tblStylePr>
    <w:tblStylePr w:type="lastRow">
      <w:rPr>
        <w:b/>
        <w:color w:val="fac090" w:themeColor="accent6" w:themeTint="98" w:themeShade="95"/>
      </w:rPr>
      <w:tcPr>
        <w:tcBorders>
          <w:top w:val="single" w:color="FAC090" w:themeColor="accent6" w:themeTint="98" w:sz="4" w:space="0"/>
        </w:tcBorders>
      </w:tcPr>
    </w:tblStylePr>
  </w:style>
  <w:style w:type="table" w:styleId="931" w:customStyle="1">
    <w:name w:val="List Table 7 Colorful"/>
    <w:basedOn w:val="805"/>
    <w:uiPriority w:val="99"/>
    <w:tblPr>
      <w:tblStyleRowBandSize w:val="1"/>
      <w:tblStyleColBandSize w:val="1"/>
      <w:tblInd w:w="0" w:type="dxa"/>
      <w:tblBorders>
        <w:right w:val="single" w:color="7F7F7F" w:themeColor="text1" w:themeTint="80" w:sz="4" w:space="0"/>
      </w:tblBorders>
      <w:tblCellMar>
        <w:left w:w="108" w:type="dxa"/>
        <w:top w:w="0" w:type="dxa"/>
        <w:right w:w="108" w:type="dxa"/>
        <w:bottom w:w="0" w:type="dxa"/>
      </w:tblCellMar>
    </w:tblPr>
    <w:tblStylePr w:type="band1Horz">
      <w:rPr>
        <w:rFonts w:ascii="Arial" w:hAnsi="Arial"/>
        <w:color w:val="7f7f7f" w:themeColor="text1" w:themeTint="80" w:themeShade="95"/>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i/>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i/>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932" w:customStyle="1">
    <w:name w:val="List Table 7 Colorful - Accent 1"/>
    <w:basedOn w:val="805"/>
    <w:uiPriority w:val="99"/>
    <w:tblPr>
      <w:tblStyleRowBandSize w:val="1"/>
      <w:tblStyleColBandSize w:val="1"/>
      <w:tblInd w:w="0" w:type="dxa"/>
      <w:tblBorders>
        <w:right w:val="single" w:color="4F81BD" w:themeColor="accent1" w:sz="4" w:space="0"/>
      </w:tblBorders>
      <w:tblCellMar>
        <w:left w:w="108" w:type="dxa"/>
        <w:top w:w="0" w:type="dxa"/>
        <w:right w:w="108" w:type="dxa"/>
        <w:bottom w:w="0" w:type="dxa"/>
      </w:tblCellMar>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rFonts w:ascii="Arial" w:hAnsi="Arial"/>
        <w:i/>
        <w:color w:val="2a4a71" w:themeColor="accent1" w:themeShade="95"/>
        <w:sz w:val="22"/>
      </w:rPr>
      <w:pPr>
        <w:jc w:val="right"/>
      </w:pPr>
      <w:tcPr>
        <w:shd w:val="clear" w:color="ffffff" w:fill="auto"/>
        <w:tcBorders>
          <w:top w:val="none" w:color="000000" w:sz="4" w:space="0"/>
          <w:left w:val="none" w:color="000000" w:sz="4" w:space="0"/>
          <w:bottom w:val="none" w:color="000000" w:sz="4" w:space="0"/>
          <w:right w:val="single" w:color="4F81BD" w:themeColor="accent1" w:sz="4" w:space="0"/>
        </w:tcBorders>
      </w:tcPr>
    </w:tblStylePr>
    <w:tblStylePr w:type="firstRow">
      <w:rPr>
        <w:rFonts w:ascii="Arial" w:hAnsi="Arial"/>
        <w:i/>
        <w:color w:val="2a4a71" w:themeColor="accent1" w:themeShade="95"/>
        <w:sz w:val="22"/>
      </w:rPr>
      <w:tcPr>
        <w:shd w:val="clear" w:color="ffffff" w:themeColor="light1" w:fill="ffffff" w:themeFill="light1"/>
        <w:tcBorders>
          <w:top w:val="none" w:color="000000" w:sz="4" w:space="0"/>
          <w:left w:val="none" w:color="000000" w:sz="4" w:space="0"/>
          <w:bottom w:val="single" w:color="4F81BD" w:themeColor="accent1" w:sz="4" w:space="0"/>
          <w:right w:val="none" w:color="000000" w:sz="4" w:space="0"/>
        </w:tcBorders>
      </w:tcPr>
    </w:tblStylePr>
    <w:tblStylePr w:type="lastCol">
      <w:rPr>
        <w:rFonts w:ascii="Arial" w:hAnsi="Arial"/>
        <w:i/>
        <w:color w:val="2a4a71" w:themeColor="accent1" w:themeShade="95"/>
        <w:sz w:val="22"/>
      </w:rPr>
      <w:tcPr>
        <w:shd w:val="clear" w:color="ffffff" w:fill="auto"/>
        <w:tcBorders>
          <w:top w:val="none" w:color="000000" w:sz="4" w:space="0"/>
          <w:left w:val="single" w:color="4F81BD" w:themeColor="accent1" w:sz="4" w:space="0"/>
          <w:bottom w:val="none" w:color="000000" w:sz="4" w:space="0"/>
          <w:right w:val="none" w:color="000000" w:sz="4" w:space="0"/>
        </w:tcBorders>
      </w:tcPr>
    </w:tblStylePr>
    <w:tblStylePr w:type="lastRow">
      <w:rPr>
        <w:rFonts w:ascii="Arial" w:hAnsi="Arial"/>
        <w:i/>
        <w:color w:val="2a4a71" w:themeColor="accent1" w:themeShade="95"/>
        <w:sz w:val="22"/>
      </w:rPr>
      <w:tcPr>
        <w:shd w:val="clear" w:color="ffffff" w:themeColor="light1" w:fill="ffffff" w:themeFill="light1"/>
        <w:tcBorders>
          <w:top w:val="single" w:color="4F81BD" w:themeColor="accent1" w:sz="4" w:space="0"/>
          <w:left w:val="none" w:color="000000" w:sz="4" w:space="0"/>
          <w:bottom w:val="none" w:color="000000" w:sz="4" w:space="0"/>
          <w:right w:val="none" w:color="000000" w:sz="4" w:space="0"/>
        </w:tcBorders>
      </w:tcPr>
    </w:tblStylePr>
  </w:style>
  <w:style w:type="table" w:styleId="933" w:customStyle="1">
    <w:name w:val="List Table 7 Colorful - Accent 2"/>
    <w:basedOn w:val="805"/>
    <w:uiPriority w:val="99"/>
    <w:tblPr>
      <w:tblStyleRowBandSize w:val="1"/>
      <w:tblStyleColBandSize w:val="1"/>
      <w:tblInd w:w="0" w:type="dxa"/>
      <w:tblBorders>
        <w:right w:val="single" w:color="D99695" w:themeColor="accent2" w:themeTint="97" w:sz="4" w:space="0"/>
      </w:tblBorders>
      <w:tblCellMar>
        <w:left w:w="108" w:type="dxa"/>
        <w:top w:w="0" w:type="dxa"/>
        <w:right w:w="108" w:type="dxa"/>
        <w:bottom w:w="0" w:type="dxa"/>
      </w:tblCellMar>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i/>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i/>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934" w:customStyle="1">
    <w:name w:val="List Table 7 Colorful - Accent 3"/>
    <w:basedOn w:val="805"/>
    <w:uiPriority w:val="99"/>
    <w:tblPr>
      <w:tblStyleRowBandSize w:val="1"/>
      <w:tblStyleColBandSize w:val="1"/>
      <w:tblInd w:w="0" w:type="dxa"/>
      <w:tblBorders>
        <w:right w:val="single" w:color="C3D69B" w:themeColor="accent3" w:themeTint="98" w:sz="4" w:space="0"/>
      </w:tblBorders>
      <w:tblCellMar>
        <w:left w:w="108" w:type="dxa"/>
        <w:top w:w="0" w:type="dxa"/>
        <w:right w:w="108" w:type="dxa"/>
        <w:bottom w:w="0" w:type="dxa"/>
      </w:tblCellMar>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rFonts w:ascii="Arial" w:hAnsi="Arial"/>
        <w:i/>
        <w:color w:val="c3d69b" w:themeColor="accent3" w:themeTint="98" w:themeShade="95"/>
        <w:sz w:val="22"/>
      </w:rPr>
      <w:pPr>
        <w:jc w:val="right"/>
      </w:pPr>
      <w:tcPr>
        <w:shd w:val="clear" w:color="ffffff" w:fill="auto"/>
        <w:tcBorders>
          <w:top w:val="none" w:color="000000" w:sz="4" w:space="0"/>
          <w:left w:val="none" w:color="000000" w:sz="4" w:space="0"/>
          <w:bottom w:val="none" w:color="000000" w:sz="4" w:space="0"/>
          <w:right w:val="single" w:color="C3D69B" w:themeColor="accent3" w:themeTint="98" w:sz="4" w:space="0"/>
        </w:tcBorders>
      </w:tcPr>
    </w:tblStylePr>
    <w:tblStylePr w:type="firstRow">
      <w:rPr>
        <w:rFonts w:ascii="Arial" w:hAnsi="Arial"/>
        <w:i/>
        <w:color w:val="c3d69b" w:themeColor="accent3" w:themeTint="98" w:themeShade="95"/>
        <w:sz w:val="22"/>
      </w:rPr>
      <w:tcPr>
        <w:shd w:val="clear" w:color="ffffff" w:themeColor="light1" w:fill="ffffff" w:themeFill="light1"/>
        <w:tcBorders>
          <w:top w:val="none" w:color="000000" w:sz="4" w:space="0"/>
          <w:left w:val="none" w:color="000000" w:sz="4" w:space="0"/>
          <w:bottom w:val="single" w:color="C3D69B" w:themeColor="accent3" w:themeTint="98" w:sz="4" w:space="0"/>
          <w:right w:val="none" w:color="000000" w:sz="4" w:space="0"/>
        </w:tcBorders>
      </w:tcPr>
    </w:tblStylePr>
    <w:tblStylePr w:type="lastCol">
      <w:rPr>
        <w:rFonts w:ascii="Arial" w:hAnsi="Arial"/>
        <w:i/>
        <w:color w:val="c3d69b" w:themeColor="accent3" w:themeTint="98" w:themeShade="95"/>
        <w:sz w:val="22"/>
      </w:rPr>
      <w:tcPr>
        <w:shd w:val="clear" w:color="ffffff" w:fill="auto"/>
        <w:tcBorders>
          <w:top w:val="none" w:color="000000" w:sz="4" w:space="0"/>
          <w:left w:val="single" w:color="C3D69B" w:themeColor="accent3" w:themeTint="98" w:sz="4" w:space="0"/>
          <w:bottom w:val="none" w:color="000000" w:sz="4" w:space="0"/>
          <w:right w:val="none" w:color="000000" w:sz="4" w:space="0"/>
        </w:tcBorders>
      </w:tcPr>
    </w:tblStylePr>
    <w:tblStylePr w:type="lastRow">
      <w:rPr>
        <w:rFonts w:ascii="Arial" w:hAnsi="Arial"/>
        <w:i/>
        <w:color w:val="c3d69b" w:themeColor="accent3" w:themeTint="98" w:themeShade="95"/>
        <w:sz w:val="22"/>
      </w:rPr>
      <w:tcPr>
        <w:shd w:val="clear" w:color="ffffff" w:themeColor="light1" w:fill="ffffff" w:themeFill="light1"/>
        <w:tcBorders>
          <w:top w:val="single" w:color="C3D69B" w:themeColor="accent3" w:themeTint="98" w:sz="4" w:space="0"/>
          <w:left w:val="none" w:color="000000" w:sz="4" w:space="0"/>
          <w:bottom w:val="none" w:color="000000" w:sz="4" w:space="0"/>
          <w:right w:val="none" w:color="000000" w:sz="4" w:space="0"/>
        </w:tcBorders>
      </w:tcPr>
    </w:tblStylePr>
  </w:style>
  <w:style w:type="table" w:styleId="935" w:customStyle="1">
    <w:name w:val="List Table 7 Colorful - Accent 4"/>
    <w:basedOn w:val="805"/>
    <w:uiPriority w:val="99"/>
    <w:tblPr>
      <w:tblStyleRowBandSize w:val="1"/>
      <w:tblStyleColBandSize w:val="1"/>
      <w:tblInd w:w="0" w:type="dxa"/>
      <w:tblBorders>
        <w:right w:val="single" w:color="B2A1C6" w:themeColor="accent4" w:themeTint="9A" w:sz="4" w:space="0"/>
      </w:tblBorders>
      <w:tblCellMar>
        <w:left w:w="108" w:type="dxa"/>
        <w:top w:w="0" w:type="dxa"/>
        <w:right w:w="108" w:type="dxa"/>
        <w:bottom w:w="0" w:type="dxa"/>
      </w:tblCellMar>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i/>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i/>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936" w:customStyle="1">
    <w:name w:val="List Table 7 Colorful - Accent 5"/>
    <w:basedOn w:val="805"/>
    <w:uiPriority w:val="99"/>
    <w:tblPr>
      <w:tblStyleRowBandSize w:val="1"/>
      <w:tblStyleColBandSize w:val="1"/>
      <w:tblInd w:w="0" w:type="dxa"/>
      <w:tblBorders>
        <w:right w:val="single" w:color="92CCDC" w:themeColor="accent5" w:themeTint="9A" w:sz="4" w:space="0"/>
      </w:tblBorders>
      <w:tblCellMar>
        <w:left w:w="108" w:type="dxa"/>
        <w:top w:w="0" w:type="dxa"/>
        <w:right w:w="108" w:type="dxa"/>
        <w:bottom w:w="0" w:type="dxa"/>
      </w:tblCellMar>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rFonts w:ascii="Arial" w:hAnsi="Arial"/>
        <w:i/>
        <w:color w:val="92ccdc" w:themeColor="accent5" w:themeTint="9A" w:themeShade="95"/>
        <w:sz w:val="22"/>
      </w:rPr>
      <w:pPr>
        <w:jc w:val="right"/>
      </w:pPr>
      <w:tcPr>
        <w:shd w:val="clear" w:color="ffffff" w:fill="auto"/>
        <w:tcBorders>
          <w:top w:val="none" w:color="000000" w:sz="4" w:space="0"/>
          <w:left w:val="none" w:color="000000" w:sz="4" w:space="0"/>
          <w:bottom w:val="none" w:color="000000" w:sz="4" w:space="0"/>
          <w:right w:val="single" w:color="92CCDC" w:themeColor="accent5" w:themeTint="9A" w:sz="4" w:space="0"/>
        </w:tcBorders>
      </w:tcPr>
    </w:tblStylePr>
    <w:tblStylePr w:type="firstRow">
      <w:rPr>
        <w:rFonts w:ascii="Arial" w:hAnsi="Arial"/>
        <w:i/>
        <w:color w:val="92ccdc" w:themeColor="accent5" w:themeTint="9A" w:themeShade="95"/>
        <w:sz w:val="22"/>
      </w:rPr>
      <w:tcPr>
        <w:shd w:val="clear" w:color="ffffff" w:themeColor="light1" w:fill="ffffff" w:themeFill="light1"/>
        <w:tcBorders>
          <w:top w:val="none" w:color="000000" w:sz="4" w:space="0"/>
          <w:left w:val="none" w:color="000000" w:sz="4" w:space="0"/>
          <w:bottom w:val="single" w:color="92CCDC" w:themeColor="accent5" w:themeTint="9A" w:sz="4" w:space="0"/>
          <w:right w:val="none" w:color="000000" w:sz="4" w:space="0"/>
        </w:tcBorders>
      </w:tcPr>
    </w:tblStylePr>
    <w:tblStylePr w:type="lastCol">
      <w:rPr>
        <w:rFonts w:ascii="Arial" w:hAnsi="Arial"/>
        <w:i/>
        <w:color w:val="92ccdc" w:themeColor="accent5" w:themeTint="9A" w:themeShade="95"/>
        <w:sz w:val="22"/>
      </w:rPr>
      <w:tcPr>
        <w:shd w:val="clear" w:color="ffffff" w:fill="auto"/>
        <w:tcBorders>
          <w:top w:val="none" w:color="000000" w:sz="4" w:space="0"/>
          <w:left w:val="single" w:color="92CCDC" w:themeColor="accent5" w:themeTint="9A" w:sz="4" w:space="0"/>
          <w:bottom w:val="none" w:color="000000" w:sz="4" w:space="0"/>
          <w:right w:val="none" w:color="000000" w:sz="4" w:space="0"/>
        </w:tcBorders>
      </w:tcPr>
    </w:tblStylePr>
    <w:tblStylePr w:type="lastRow">
      <w:rPr>
        <w:rFonts w:ascii="Arial" w:hAnsi="Arial"/>
        <w:i/>
        <w:color w:val="92ccdc" w:themeColor="accent5" w:themeTint="9A" w:themeShade="95"/>
        <w:sz w:val="22"/>
      </w:rPr>
      <w:tcPr>
        <w:shd w:val="clear" w:color="ffffff" w:themeColor="light1" w:fill="ffffff" w:themeFill="light1"/>
        <w:tcBorders>
          <w:top w:val="single" w:color="92CCDC" w:themeColor="accent5" w:themeTint="9A" w:sz="4" w:space="0"/>
          <w:left w:val="none" w:color="000000" w:sz="4" w:space="0"/>
          <w:bottom w:val="none" w:color="000000" w:sz="4" w:space="0"/>
          <w:right w:val="none" w:color="000000" w:sz="4" w:space="0"/>
        </w:tcBorders>
      </w:tcPr>
    </w:tblStylePr>
  </w:style>
  <w:style w:type="table" w:styleId="937" w:customStyle="1">
    <w:name w:val="List Table 7 Colorful - Accent 6"/>
    <w:basedOn w:val="805"/>
    <w:uiPriority w:val="99"/>
    <w:tblPr>
      <w:tblStyleRowBandSize w:val="1"/>
      <w:tblStyleColBandSize w:val="1"/>
      <w:tblInd w:w="0" w:type="dxa"/>
      <w:tblBorders>
        <w:right w:val="single" w:color="FAC090" w:themeColor="accent6" w:themeTint="98" w:sz="4" w:space="0"/>
      </w:tblBorders>
      <w:tblCellMar>
        <w:left w:w="108" w:type="dxa"/>
        <w:top w:w="0" w:type="dxa"/>
        <w:right w:w="108" w:type="dxa"/>
        <w:bottom w:w="0" w:type="dxa"/>
      </w:tblCellMar>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rFonts w:ascii="Arial" w:hAnsi="Arial"/>
        <w:i/>
        <w:color w:val="fac090" w:themeColor="accent6" w:themeTint="98" w:themeShade="95"/>
        <w:sz w:val="22"/>
      </w:rPr>
      <w:pPr>
        <w:jc w:val="right"/>
      </w:pPr>
      <w:tcPr>
        <w:shd w:val="clear" w:color="ffffff" w:fill="auto"/>
        <w:tcBorders>
          <w:top w:val="none" w:color="000000" w:sz="4" w:space="0"/>
          <w:left w:val="none" w:color="000000" w:sz="4" w:space="0"/>
          <w:bottom w:val="none" w:color="000000" w:sz="4" w:space="0"/>
          <w:right w:val="single" w:color="FAC090" w:themeColor="accent6" w:themeTint="98" w:sz="4" w:space="0"/>
        </w:tcBorders>
      </w:tcPr>
    </w:tblStylePr>
    <w:tblStylePr w:type="firstRow">
      <w:rPr>
        <w:rFonts w:ascii="Arial" w:hAnsi="Arial"/>
        <w:i/>
        <w:color w:val="fac090" w:themeColor="accent6" w:themeTint="98" w:themeShade="95"/>
        <w:sz w:val="22"/>
      </w:rPr>
      <w:tcPr>
        <w:shd w:val="clear" w:color="ffffff" w:themeColor="light1" w:fill="ffffff" w:themeFill="light1"/>
        <w:tcBorders>
          <w:top w:val="none" w:color="000000" w:sz="4" w:space="0"/>
          <w:left w:val="none" w:color="000000" w:sz="4" w:space="0"/>
          <w:bottom w:val="single" w:color="FAC090" w:themeColor="accent6" w:themeTint="98" w:sz="4" w:space="0"/>
          <w:right w:val="none" w:color="000000" w:sz="4" w:space="0"/>
        </w:tcBorders>
      </w:tcPr>
    </w:tblStylePr>
    <w:tblStylePr w:type="lastCol">
      <w:rPr>
        <w:rFonts w:ascii="Arial" w:hAnsi="Arial"/>
        <w:i/>
        <w:color w:val="fac090" w:themeColor="accent6" w:themeTint="98" w:themeShade="95"/>
        <w:sz w:val="22"/>
      </w:rPr>
      <w:tcPr>
        <w:shd w:val="clear" w:color="ffffff" w:fill="auto"/>
        <w:tcBorders>
          <w:top w:val="none" w:color="000000" w:sz="4" w:space="0"/>
          <w:left w:val="single" w:color="FAC090" w:themeColor="accent6" w:themeTint="98" w:sz="4" w:space="0"/>
          <w:bottom w:val="none" w:color="000000" w:sz="4" w:space="0"/>
          <w:right w:val="none" w:color="000000" w:sz="4" w:space="0"/>
        </w:tcBorders>
      </w:tcPr>
    </w:tblStylePr>
    <w:tblStylePr w:type="lastRow">
      <w:rPr>
        <w:rFonts w:ascii="Arial" w:hAnsi="Arial"/>
        <w:i/>
        <w:color w:val="fac090" w:themeColor="accent6" w:themeTint="98" w:themeShade="95"/>
        <w:sz w:val="22"/>
      </w:rPr>
      <w:tcPr>
        <w:shd w:val="clear" w:color="ffffff" w:themeColor="light1" w:fill="ffffff" w:themeFill="light1"/>
        <w:tcBorders>
          <w:top w:val="single" w:color="FAC090" w:themeColor="accent6" w:themeTint="98" w:sz="4" w:space="0"/>
          <w:left w:val="none" w:color="000000" w:sz="4" w:space="0"/>
          <w:bottom w:val="none" w:color="000000" w:sz="4" w:space="0"/>
          <w:right w:val="none" w:color="000000" w:sz="4" w:space="0"/>
        </w:tcBorders>
      </w:tcPr>
    </w:tblStylePr>
  </w:style>
  <w:style w:type="table" w:styleId="938" w:customStyle="1">
    <w:name w:val="Lined - Accent"/>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0" w:fill="f2f2f2" w:themeFill="text1" w:themeFillTint="00"/>
      </w:tcPr>
    </w:tblStylePr>
    <w:tblStylePr w:type="band2Vert">
      <w:rPr>
        <w:rFonts w:ascii="Arial" w:hAnsi="Arial"/>
        <w:color w:val="404040"/>
        <w:sz w:val="22"/>
      </w:rPr>
      <w:tcPr>
        <w:shd w:val="clear" w:color="f2f2f2" w:themeColor="text1" w:themeTint="00" w:fill="f2f2f2" w:themeFill="text1" w:themeFillTint="00"/>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939" w:customStyle="1">
    <w:name w:val="Lined - Accent 1"/>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940" w:customStyle="1">
    <w:name w:val="Lined - Accent 2"/>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941" w:customStyle="1">
    <w:name w:val="Lined - Accent 3"/>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942" w:customStyle="1">
    <w:name w:val="Lined - Accent 4"/>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943" w:customStyle="1">
    <w:name w:val="Lined - Accent 5"/>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944" w:customStyle="1">
    <w:name w:val="Lined - Accent 6"/>
    <w:basedOn w:val="805"/>
    <w:uiPriority w:val="99"/>
    <w:rPr>
      <w:color w:val="404040"/>
    </w:rPr>
    <w:tblPr>
      <w:tblStyleRowBandSize w:val="1"/>
      <w:tblStyleColBandSize w:val="1"/>
      <w:tblInd w:w="0" w:type="dxa"/>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945" w:customStyle="1">
    <w:name w:val="Bordered &amp; Lined - Accent"/>
    <w:basedOn w:val="805"/>
    <w:uiPriority w:val="99"/>
    <w:rPr>
      <w:color w:val="404040"/>
    </w:rPr>
    <w:tblPr>
      <w:tblStyleRowBandSize w:val="1"/>
      <w:tblStyleColBandSize w:val="1"/>
      <w:tblInd w:w="0" w:type="dxa"/>
      <w:tblBorders>
        <w:top w:val="single" w:color="595959" w:themeColor="text1" w:themeTint="A6" w:sz="4" w:space="0"/>
        <w:left w:val="single" w:color="595959" w:themeColor="text1" w:themeTint="A6" w:sz="4" w:space="0"/>
        <w:bottom w:val="single" w:color="595959" w:themeColor="text1" w:themeTint="A6" w:sz="4" w:space="0"/>
        <w:right w:val="single" w:color="595959" w:themeColor="text1" w:themeTint="A6" w:sz="4" w:space="0"/>
        <w:insideH w:val="single" w:color="595959" w:themeColor="text1" w:themeTint="A6" w:sz="4" w:space="0"/>
        <w:insideV w:val="single" w:color="595959" w:themeColor="text1" w:themeTint="A6"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0" w:fill="f2f2f2" w:themeFill="text1" w:themeFillTint="00"/>
      </w:tcPr>
    </w:tblStylePr>
    <w:tblStylePr w:type="band2Vert">
      <w:rPr>
        <w:rFonts w:ascii="Arial" w:hAnsi="Arial"/>
        <w:color w:val="404040"/>
        <w:sz w:val="22"/>
      </w:rPr>
      <w:tcPr>
        <w:shd w:val="clear" w:color="f2f2f2" w:themeColor="text1" w:themeTint="00" w:fill="f2f2f2" w:themeFill="text1" w:themeFillTint="00"/>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946" w:customStyle="1">
    <w:name w:val="Bordered &amp; Lined - Accent 1"/>
    <w:basedOn w:val="805"/>
    <w:uiPriority w:val="99"/>
    <w:rPr>
      <w:color w:val="404040"/>
    </w:rPr>
    <w:tblPr>
      <w:tblStyleRowBandSize w:val="1"/>
      <w:tblStyleColBandSize w:val="1"/>
      <w:tblInd w:w="0" w:type="dxa"/>
      <w:tblBorders>
        <w:top w:val="single" w:color="2A4A71" w:themeColor="accent1" w:themeShade="95" w:sz="4" w:space="0"/>
        <w:left w:val="single" w:color="2A4A71" w:themeColor="accent1" w:themeShade="95" w:sz="4" w:space="0"/>
        <w:bottom w:val="single" w:color="2A4A71" w:themeColor="accent1" w:themeShade="95" w:sz="4" w:space="0"/>
        <w:right w:val="single" w:color="2A4A71" w:themeColor="accent1" w:themeShade="95" w:sz="4" w:space="0"/>
        <w:insideH w:val="single" w:color="2A4A71" w:themeColor="accent1" w:themeShade="95" w:sz="4" w:space="0"/>
        <w:insideV w:val="single" w:color="2A4A71" w:themeColor="accent1"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947" w:customStyle="1">
    <w:name w:val="Bordered &amp; Lined - Accent 2"/>
    <w:basedOn w:val="805"/>
    <w:uiPriority w:val="99"/>
    <w:rPr>
      <w:color w:val="404040"/>
    </w:rPr>
    <w:tblPr>
      <w:tblStyleRowBandSize w:val="1"/>
      <w:tblStyleColBandSize w:val="1"/>
      <w:tblInd w:w="0" w:type="dxa"/>
      <w:tblBorders>
        <w:top w:val="single" w:color="732A29" w:themeColor="accent2" w:themeShade="95" w:sz="4" w:space="0"/>
        <w:left w:val="single" w:color="732A29" w:themeColor="accent2" w:themeShade="95" w:sz="4" w:space="0"/>
        <w:bottom w:val="single" w:color="732A29" w:themeColor="accent2" w:themeShade="95" w:sz="4" w:space="0"/>
        <w:right w:val="single" w:color="732A29" w:themeColor="accent2" w:themeShade="95" w:sz="4" w:space="0"/>
        <w:insideH w:val="single" w:color="732A29" w:themeColor="accent2" w:themeShade="95" w:sz="4" w:space="0"/>
        <w:insideV w:val="single" w:color="732A29" w:themeColor="accent2"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948" w:customStyle="1">
    <w:name w:val="Bordered &amp; Lined - Accent 3"/>
    <w:basedOn w:val="805"/>
    <w:uiPriority w:val="99"/>
    <w:rPr>
      <w:color w:val="404040"/>
    </w:rPr>
    <w:tblPr>
      <w:tblStyleRowBandSize w:val="1"/>
      <w:tblStyleColBandSize w:val="1"/>
      <w:tblInd w:w="0" w:type="dxa"/>
      <w:tblBorders>
        <w:top w:val="single" w:color="5B722E" w:themeColor="accent3" w:themeShade="95" w:sz="4" w:space="0"/>
        <w:left w:val="single" w:color="5B722E" w:themeColor="accent3" w:themeShade="95" w:sz="4" w:space="0"/>
        <w:bottom w:val="single" w:color="5B722E" w:themeColor="accent3" w:themeShade="95" w:sz="4" w:space="0"/>
        <w:right w:val="single" w:color="5B722E" w:themeColor="accent3" w:themeShade="95" w:sz="4" w:space="0"/>
        <w:insideH w:val="single" w:color="5B722E" w:themeColor="accent3" w:themeShade="95" w:sz="4" w:space="0"/>
        <w:insideV w:val="single" w:color="5B722E" w:themeColor="accent3"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949" w:customStyle="1">
    <w:name w:val="Bordered &amp; Lined - Accent 4"/>
    <w:basedOn w:val="805"/>
    <w:uiPriority w:val="99"/>
    <w:rPr>
      <w:color w:val="404040"/>
    </w:rPr>
    <w:tblPr>
      <w:tblStyleRowBandSize w:val="1"/>
      <w:tblStyleColBandSize w:val="1"/>
      <w:tblInd w:w="0" w:type="dxa"/>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950" w:customStyle="1">
    <w:name w:val="Bordered &amp; Lined - Accent 5"/>
    <w:basedOn w:val="805"/>
    <w:uiPriority w:val="99"/>
    <w:rPr>
      <w:color w:val="404040"/>
    </w:rPr>
    <w:tblPr>
      <w:tblStyleRowBandSize w:val="1"/>
      <w:tblStyleColBandSize w:val="1"/>
      <w:tblInd w:w="0" w:type="dxa"/>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951" w:customStyle="1">
    <w:name w:val="Bordered &amp; Lined - Accent 6"/>
    <w:basedOn w:val="805"/>
    <w:uiPriority w:val="99"/>
    <w:rPr>
      <w:color w:val="404040"/>
    </w:rPr>
    <w:tblPr>
      <w:tblStyleRowBandSize w:val="1"/>
      <w:tblStyleColBandSize w:val="1"/>
      <w:tblInd w:w="0" w:type="dxa"/>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CellMar>
        <w:left w:w="108" w:type="dxa"/>
        <w:top w:w="0" w:type="dxa"/>
        <w:right w:w="108" w:type="dxa"/>
        <w:bottom w:w="0" w:type="dxa"/>
      </w:tblCellMar>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952" w:customStyle="1">
    <w:name w:val="Bordered"/>
    <w:basedOn w:val="805"/>
    <w:uiPriority w:val="99"/>
    <w:tblPr>
      <w:tblStyleRowBandSize w:val="1"/>
      <w:tblStyleColBandSize w:val="1"/>
      <w:tblInd w:w="0" w:type="dxa"/>
      <w:tbl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insideH w:val="single" w:color="D9D9D9" w:themeColor="text1" w:themeTint="26" w:sz="4" w:space="0"/>
        <w:insideV w:val="single" w:color="D9D9D9" w:themeColor="text1" w:themeTint="26" w:sz="4" w:space="0"/>
      </w:tblBorders>
      <w:tblCellMar>
        <w:left w:w="108" w:type="dxa"/>
        <w:top w:w="0" w:type="dxa"/>
        <w:right w:w="108" w:type="dxa"/>
        <w:bottom w:w="0" w:type="dxa"/>
      </w:tblCellMar>
    </w:tblPr>
    <w:tblStylePr w:type="band1Horz">
      <w:rPr>
        <w:rFonts w:ascii="Arial" w:hAnsi="Arial"/>
        <w:color w:val="404040"/>
        <w:sz w:val="22"/>
      </w:rPr>
      <w:tcPr>
        <w:tc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themeColor="text1" w:themeTint="80" w:sz="12" w:space="0"/>
        </w:tcBorders>
      </w:tcPr>
    </w:tblStylePr>
    <w:tblStylePr w:type="lastCol">
      <w:rPr>
        <w:rFonts w:ascii="Arial" w:hAnsi="Arial"/>
        <w:color w:val="404040"/>
        <w:sz w:val="22"/>
      </w:rPr>
      <w:tcPr>
        <w:tcBorders>
          <w:left w:val="single" w:color="7F7F7F" w:themeColor="text1" w:themeTint="80" w:sz="12" w:space="0"/>
        </w:tcBorders>
      </w:tcPr>
    </w:tblStylePr>
    <w:tblStylePr w:type="lastRow">
      <w:rPr>
        <w:rFonts w:ascii="Arial" w:hAnsi="Arial"/>
        <w:color w:val="404040"/>
        <w:sz w:val="22"/>
      </w:rPr>
      <w:tcPr>
        <w:tcBorders>
          <w:top w:val="single" w:color="7F7F7F" w:themeColor="text1" w:themeTint="80" w:sz="12" w:space="0"/>
        </w:tcBorders>
      </w:tcPr>
    </w:tblStylePr>
  </w:style>
  <w:style w:type="table" w:styleId="953" w:customStyle="1">
    <w:name w:val="Bordered - Accent 1"/>
    <w:basedOn w:val="805"/>
    <w:uiPriority w:val="99"/>
    <w:tblPr>
      <w:tblStyleRowBandSize w:val="1"/>
      <w:tblStyleColBandSize w:val="1"/>
      <w:tblInd w:w="0" w:type="dxa"/>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4F81BD" w:themeColor="accent1" w:sz="12" w:space="0"/>
        </w:tcBorders>
      </w:tcPr>
    </w:tblStylePr>
    <w:tblStylePr w:type="lastCol">
      <w:rPr>
        <w:rFonts w:ascii="Arial" w:hAnsi="Arial"/>
        <w:color w:val="404040"/>
        <w:sz w:val="22"/>
      </w:rPr>
      <w:tcPr>
        <w:tcBorders>
          <w:left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style>
  <w:style w:type="table" w:styleId="954" w:customStyle="1">
    <w:name w:val="Bordered - Accent 2"/>
    <w:basedOn w:val="805"/>
    <w:uiPriority w:val="99"/>
    <w:tblPr>
      <w:tblStyleRowBandSize w:val="1"/>
      <w:tblStyleColBandSize w:val="1"/>
      <w:tblInd w:w="0" w:type="dxa"/>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D99695" w:themeColor="accent2" w:themeTint="97" w:sz="12" w:space="0"/>
        </w:tcBorders>
      </w:tcPr>
    </w:tblStylePr>
    <w:tblStylePr w:type="lastCol">
      <w:rPr>
        <w:rFonts w:ascii="Arial" w:hAnsi="Arial"/>
        <w:color w:val="404040"/>
        <w:sz w:val="22"/>
      </w:rPr>
      <w:tcPr>
        <w:tcBorders>
          <w:left w:val="single" w:color="D99695" w:themeColor="accent2" w:themeTint="97" w:sz="12" w:space="0"/>
        </w:tcBorders>
      </w:tcPr>
    </w:tblStylePr>
    <w:tblStylePr w:type="lastRow">
      <w:rPr>
        <w:rFonts w:ascii="Arial" w:hAnsi="Arial"/>
        <w:color w:val="404040"/>
        <w:sz w:val="22"/>
      </w:rPr>
      <w:tcPr>
        <w:tcBorders>
          <w:top w:val="single" w:color="D99695" w:themeColor="accent2" w:themeTint="97" w:sz="12" w:space="0"/>
        </w:tcBorders>
      </w:tcPr>
    </w:tblStylePr>
  </w:style>
  <w:style w:type="table" w:styleId="955" w:customStyle="1">
    <w:name w:val="Bordered - Accent 3"/>
    <w:basedOn w:val="805"/>
    <w:uiPriority w:val="99"/>
    <w:tblPr>
      <w:tblStyleRowBandSize w:val="1"/>
      <w:tblStyleColBandSize w:val="1"/>
      <w:tblInd w:w="0" w:type="dxa"/>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C3D69B" w:themeColor="accent3" w:themeTint="98" w:sz="12" w:space="0"/>
        </w:tcBorders>
      </w:tcPr>
    </w:tblStylePr>
    <w:tblStylePr w:type="lastCol">
      <w:rPr>
        <w:rFonts w:ascii="Arial" w:hAnsi="Arial"/>
        <w:color w:val="404040"/>
        <w:sz w:val="22"/>
      </w:rPr>
      <w:tcPr>
        <w:tcBorders>
          <w:left w:val="single" w:color="C3D69B" w:themeColor="accent3" w:themeTint="98" w:sz="12" w:space="0"/>
        </w:tcBorders>
      </w:tcPr>
    </w:tblStylePr>
    <w:tblStylePr w:type="lastRow">
      <w:rPr>
        <w:rFonts w:ascii="Arial" w:hAnsi="Arial"/>
        <w:color w:val="404040"/>
        <w:sz w:val="22"/>
      </w:rPr>
      <w:tcPr>
        <w:tcBorders>
          <w:top w:val="single" w:color="C3D69B" w:themeColor="accent3" w:themeTint="98" w:sz="12" w:space="0"/>
        </w:tcBorders>
      </w:tcPr>
    </w:tblStylePr>
  </w:style>
  <w:style w:type="table" w:styleId="956" w:customStyle="1">
    <w:name w:val="Bordered - Accent 4"/>
    <w:basedOn w:val="805"/>
    <w:uiPriority w:val="99"/>
    <w:tblPr>
      <w:tblStyleRowBandSize w:val="1"/>
      <w:tblStyleColBandSize w:val="1"/>
      <w:tblInd w:w="0" w:type="dxa"/>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B2A1C6" w:themeColor="accent4" w:themeTint="9A" w:sz="12" w:space="0"/>
        </w:tcBorders>
      </w:tcPr>
    </w:tblStylePr>
    <w:tblStylePr w:type="lastCol">
      <w:rPr>
        <w:rFonts w:ascii="Arial" w:hAnsi="Arial"/>
        <w:color w:val="404040"/>
        <w:sz w:val="22"/>
      </w:rPr>
      <w:tcPr>
        <w:tcBorders>
          <w:left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style>
  <w:style w:type="table" w:styleId="957" w:customStyle="1">
    <w:name w:val="Bordered - Accent 5"/>
    <w:basedOn w:val="805"/>
    <w:uiPriority w:val="99"/>
    <w:tblPr>
      <w:tblStyleRowBandSize w:val="1"/>
      <w:tblStyleColBandSize w:val="1"/>
      <w:tblInd w:w="0" w:type="dxa"/>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92CCDC" w:themeColor="accent5" w:themeTint="9A" w:sz="12" w:space="0"/>
        </w:tcBorders>
      </w:tcPr>
    </w:tblStylePr>
    <w:tblStylePr w:type="lastCol">
      <w:rPr>
        <w:rFonts w:ascii="Arial" w:hAnsi="Arial"/>
        <w:color w:val="404040"/>
        <w:sz w:val="22"/>
      </w:rPr>
      <w:tcPr>
        <w:tcBorders>
          <w:left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style>
  <w:style w:type="table" w:styleId="958" w:customStyle="1">
    <w:name w:val="Bordered - Accent 6"/>
    <w:basedOn w:val="805"/>
    <w:uiPriority w:val="99"/>
    <w:tblPr>
      <w:tblStyleRowBandSize w:val="1"/>
      <w:tblStyleColBandSize w:val="1"/>
      <w:tblInd w:w="0" w:type="dxa"/>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CellMar>
        <w:left w:w="108" w:type="dxa"/>
        <w:top w:w="0" w:type="dxa"/>
        <w:right w:w="108" w:type="dxa"/>
        <w:bottom w:w="0" w:type="dxa"/>
      </w:tblCellMar>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FAC090" w:themeColor="accent6" w:themeTint="98" w:sz="12" w:space="0"/>
        </w:tcBorders>
      </w:tcPr>
    </w:tblStylePr>
    <w:tblStylePr w:type="lastCol">
      <w:rPr>
        <w:rFonts w:ascii="Arial" w:hAnsi="Arial"/>
        <w:color w:val="404040"/>
        <w:sz w:val="22"/>
      </w:rPr>
      <w:tcPr>
        <w:tcBorders>
          <w:left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style>
  <w:style w:type="character" w:styleId="959">
    <w:name w:val="Hyperlink"/>
    <w:uiPriority w:val="99"/>
    <w:unhideWhenUsed/>
    <w:rPr>
      <w:color w:val="0000ff" w:themeColor="hyperlink"/>
      <w:u w:val="single"/>
    </w:rPr>
  </w:style>
  <w:style w:type="character" w:styleId="960" w:customStyle="1">
    <w:name w:val="Footnote Text Char"/>
    <w:link w:val="996"/>
    <w:uiPriority w:val="99"/>
    <w:rPr>
      <w:sz w:val="18"/>
    </w:rPr>
  </w:style>
  <w:style w:type="paragraph" w:styleId="961">
    <w:name w:val="endnote text"/>
    <w:basedOn w:val="799"/>
    <w:link w:val="962"/>
    <w:uiPriority w:val="99"/>
    <w:semiHidden/>
    <w:unhideWhenUsed/>
    <w:pPr>
      <w:spacing w:after="0" w:line="240" w:lineRule="auto"/>
    </w:pPr>
    <w:rPr>
      <w:sz w:val="20"/>
    </w:rPr>
  </w:style>
  <w:style w:type="character" w:styleId="962" w:customStyle="1">
    <w:name w:val="Текст концевой сноски Знак"/>
    <w:link w:val="961"/>
    <w:uiPriority w:val="99"/>
    <w:rPr>
      <w:sz w:val="20"/>
    </w:rPr>
  </w:style>
  <w:style w:type="character" w:styleId="963">
    <w:name w:val="endnote reference"/>
    <w:basedOn w:val="804"/>
    <w:uiPriority w:val="99"/>
    <w:semiHidden/>
    <w:unhideWhenUsed/>
    <w:rPr>
      <w:vertAlign w:val="superscript"/>
    </w:rPr>
  </w:style>
  <w:style w:type="paragraph" w:styleId="964">
    <w:name w:val="toc 1"/>
    <w:basedOn w:val="799"/>
    <w:next w:val="799"/>
    <w:uiPriority w:val="39"/>
    <w:unhideWhenUsed/>
    <w:pPr>
      <w:ind w:right="0" w:firstLine="0"/>
      <w:spacing w:after="57"/>
    </w:pPr>
  </w:style>
  <w:style w:type="paragraph" w:styleId="965">
    <w:name w:val="toc 2"/>
    <w:basedOn w:val="799"/>
    <w:next w:val="799"/>
    <w:uiPriority w:val="39"/>
    <w:unhideWhenUsed/>
    <w:pPr>
      <w:ind w:left="283" w:right="0" w:firstLine="0"/>
      <w:spacing w:after="57"/>
    </w:pPr>
  </w:style>
  <w:style w:type="paragraph" w:styleId="966">
    <w:name w:val="toc 3"/>
    <w:basedOn w:val="799"/>
    <w:next w:val="799"/>
    <w:uiPriority w:val="39"/>
    <w:unhideWhenUsed/>
    <w:pPr>
      <w:ind w:left="567" w:right="0" w:firstLine="0"/>
      <w:spacing w:after="57"/>
    </w:pPr>
  </w:style>
  <w:style w:type="paragraph" w:styleId="967">
    <w:name w:val="toc 4"/>
    <w:basedOn w:val="799"/>
    <w:next w:val="799"/>
    <w:uiPriority w:val="39"/>
    <w:unhideWhenUsed/>
    <w:pPr>
      <w:ind w:left="850" w:right="0" w:firstLine="0"/>
      <w:spacing w:after="57"/>
    </w:pPr>
  </w:style>
  <w:style w:type="paragraph" w:styleId="968">
    <w:name w:val="toc 5"/>
    <w:basedOn w:val="799"/>
    <w:next w:val="799"/>
    <w:uiPriority w:val="39"/>
    <w:unhideWhenUsed/>
    <w:pPr>
      <w:ind w:left="1134" w:right="0" w:firstLine="0"/>
      <w:spacing w:after="57"/>
    </w:pPr>
  </w:style>
  <w:style w:type="paragraph" w:styleId="969">
    <w:name w:val="toc 6"/>
    <w:basedOn w:val="799"/>
    <w:next w:val="799"/>
    <w:uiPriority w:val="39"/>
    <w:unhideWhenUsed/>
    <w:pPr>
      <w:ind w:left="1417" w:right="0" w:firstLine="0"/>
      <w:spacing w:after="57"/>
    </w:pPr>
  </w:style>
  <w:style w:type="paragraph" w:styleId="970">
    <w:name w:val="toc 7"/>
    <w:basedOn w:val="799"/>
    <w:next w:val="799"/>
    <w:uiPriority w:val="39"/>
    <w:unhideWhenUsed/>
    <w:pPr>
      <w:ind w:left="1701" w:right="0" w:firstLine="0"/>
      <w:spacing w:after="57"/>
    </w:pPr>
  </w:style>
  <w:style w:type="paragraph" w:styleId="971">
    <w:name w:val="toc 8"/>
    <w:basedOn w:val="799"/>
    <w:next w:val="799"/>
    <w:uiPriority w:val="39"/>
    <w:unhideWhenUsed/>
    <w:pPr>
      <w:ind w:left="1984" w:right="0" w:firstLine="0"/>
      <w:spacing w:after="57"/>
    </w:pPr>
  </w:style>
  <w:style w:type="paragraph" w:styleId="972">
    <w:name w:val="toc 9"/>
    <w:basedOn w:val="799"/>
    <w:next w:val="799"/>
    <w:uiPriority w:val="39"/>
    <w:unhideWhenUsed/>
    <w:pPr>
      <w:ind w:left="2268" w:right="0" w:firstLine="0"/>
      <w:spacing w:after="57"/>
    </w:pPr>
  </w:style>
  <w:style w:type="paragraph" w:styleId="973">
    <w:name w:val="TOC Heading"/>
    <w:uiPriority w:val="39"/>
    <w:unhideWhenUsed/>
  </w:style>
  <w:style w:type="paragraph" w:styleId="974">
    <w:name w:val="table of figures"/>
    <w:basedOn w:val="799"/>
    <w:next w:val="799"/>
    <w:uiPriority w:val="99"/>
    <w:unhideWhenUsed/>
    <w:pPr>
      <w:spacing w:after="0"/>
    </w:pPr>
  </w:style>
  <w:style w:type="paragraph" w:styleId="975" w:customStyle="1">
    <w:name w:val="Heading 1"/>
    <w:next w:val="799"/>
    <w:link w:val="982"/>
    <w:unhideWhenUsed/>
    <w:qFormat/>
    <w:pPr>
      <w:ind w:left="467" w:hanging="10"/>
      <w:jc w:val="both"/>
      <w:keepLines/>
      <w:keepNext/>
      <w:spacing w:after="104" w:line="271" w:lineRule="auto"/>
      <w:outlineLvl w:val="0"/>
    </w:pPr>
    <w:rPr>
      <w:rFonts w:ascii="Times New Roman" w:hAnsi="Times New Roman"/>
      <w:b/>
      <w:color w:val="000000"/>
      <w:sz w:val="28"/>
    </w:rPr>
  </w:style>
  <w:style w:type="paragraph" w:styleId="976" w:customStyle="1">
    <w:name w:val="Heading 2"/>
    <w:next w:val="799"/>
    <w:link w:val="983"/>
    <w:uiPriority w:val="1"/>
    <w:unhideWhenUsed/>
    <w:qFormat/>
    <w:pPr>
      <w:ind w:right="512" w:firstLine="698"/>
      <w:jc w:val="both"/>
      <w:keepLines/>
      <w:keepNext/>
      <w:spacing w:after="10" w:line="271" w:lineRule="auto"/>
      <w:outlineLvl w:val="1"/>
    </w:pPr>
    <w:rPr>
      <w:rFonts w:ascii="Times New Roman" w:hAnsi="Times New Roman"/>
      <w:b/>
      <w:color w:val="000000"/>
      <w:sz w:val="26"/>
    </w:rPr>
  </w:style>
  <w:style w:type="paragraph" w:styleId="977" w:customStyle="1">
    <w:name w:val="Heading 3"/>
    <w:next w:val="799"/>
    <w:link w:val="981"/>
    <w:unhideWhenUsed/>
    <w:qFormat/>
    <w:pPr>
      <w:ind w:left="467" w:hanging="10"/>
      <w:jc w:val="both"/>
      <w:keepLines/>
      <w:keepNext/>
      <w:spacing w:after="104" w:line="271" w:lineRule="auto"/>
      <w:outlineLvl w:val="2"/>
    </w:pPr>
    <w:rPr>
      <w:rFonts w:ascii="Times New Roman" w:hAnsi="Times New Roman"/>
      <w:b/>
      <w:color w:val="000000"/>
      <w:sz w:val="28"/>
    </w:rPr>
  </w:style>
  <w:style w:type="paragraph" w:styleId="978" w:customStyle="1">
    <w:name w:val="Heading 4"/>
    <w:next w:val="799"/>
    <w:link w:val="984"/>
    <w:unhideWhenUsed/>
    <w:qFormat/>
    <w:pPr>
      <w:ind w:right="512" w:firstLine="698"/>
      <w:jc w:val="both"/>
      <w:keepLines/>
      <w:keepNext/>
      <w:spacing w:after="10" w:line="271" w:lineRule="auto"/>
      <w:outlineLvl w:val="3"/>
    </w:pPr>
    <w:rPr>
      <w:rFonts w:ascii="Times New Roman" w:hAnsi="Times New Roman"/>
      <w:b/>
      <w:color w:val="000000"/>
      <w:sz w:val="26"/>
    </w:rPr>
  </w:style>
  <w:style w:type="paragraph" w:styleId="979" w:customStyle="1">
    <w:name w:val="footnote description"/>
    <w:next w:val="799"/>
    <w:link w:val="980"/>
    <w:hidden/>
    <w:pPr>
      <w:ind w:right="508" w:firstLine="567"/>
      <w:jc w:val="both"/>
      <w:spacing w:line="275" w:lineRule="auto"/>
    </w:pPr>
    <w:rPr>
      <w:rFonts w:ascii="Times New Roman" w:hAnsi="Times New Roman"/>
      <w:color w:val="000000"/>
    </w:rPr>
  </w:style>
  <w:style w:type="character" w:styleId="980" w:customStyle="1">
    <w:name w:val="footnote description Char"/>
    <w:link w:val="979"/>
    <w:rPr>
      <w:rFonts w:ascii="Times New Roman" w:hAnsi="Times New Roman"/>
      <w:color w:val="000000"/>
      <w:lang w:val="ru-RU" w:eastAsia="ru-RU" w:bidi="ar-SA"/>
    </w:rPr>
  </w:style>
  <w:style w:type="character" w:styleId="981" w:customStyle="1">
    <w:name w:val="Заголовок 3 Знак"/>
    <w:link w:val="977"/>
    <w:rPr>
      <w:rFonts w:ascii="Times New Roman" w:hAnsi="Times New Roman"/>
      <w:b/>
      <w:color w:val="000000"/>
      <w:sz w:val="28"/>
      <w:lang w:bidi="ar-SA"/>
    </w:rPr>
  </w:style>
  <w:style w:type="character" w:styleId="982" w:customStyle="1">
    <w:name w:val="Заголовок 1 Знак"/>
    <w:link w:val="975"/>
    <w:rPr>
      <w:rFonts w:ascii="Times New Roman" w:hAnsi="Times New Roman"/>
      <w:b/>
      <w:color w:val="000000"/>
      <w:sz w:val="28"/>
      <w:lang w:bidi="ar-SA"/>
    </w:rPr>
  </w:style>
  <w:style w:type="character" w:styleId="983" w:customStyle="1">
    <w:name w:val="Заголовок 2 Знак"/>
    <w:link w:val="976"/>
    <w:rPr>
      <w:rFonts w:ascii="Times New Roman" w:hAnsi="Times New Roman"/>
      <w:b/>
      <w:color w:val="000000"/>
      <w:sz w:val="26"/>
      <w:lang w:bidi="ar-SA"/>
    </w:rPr>
  </w:style>
  <w:style w:type="character" w:styleId="984" w:customStyle="1">
    <w:name w:val="Заголовок 4 Знак"/>
    <w:link w:val="978"/>
    <w:rPr>
      <w:rFonts w:ascii="Times New Roman" w:hAnsi="Times New Roman"/>
      <w:b/>
      <w:color w:val="000000"/>
      <w:sz w:val="26"/>
      <w:lang w:bidi="ar-SA"/>
    </w:rPr>
  </w:style>
  <w:style w:type="character" w:styleId="985" w:customStyle="1">
    <w:name w:val="footnote mark"/>
    <w:hidden/>
    <w:rPr>
      <w:rFonts w:ascii="Times New Roman" w:hAnsi="Times New Roman" w:eastAsia="Times New Roman" w:cs="Times New Roman"/>
      <w:color w:val="000000"/>
      <w:sz w:val="20"/>
      <w:vertAlign w:val="superscript"/>
    </w:rPr>
  </w:style>
  <w:style w:type="table" w:styleId="986" w:customStyle="1">
    <w:name w:val="Сетка таблицы1"/>
    <w:rPr>
      <w:sz w:val="22"/>
      <w:szCs w:val="22"/>
      <w:lang w:val="en-US" w:eastAsia="en-US"/>
    </w:rPr>
    <w:tblPr>
      <w:tblCellMar>
        <w:left w:w="0" w:type="dxa"/>
        <w:top w:w="0" w:type="dxa"/>
        <w:right w:w="0" w:type="dxa"/>
        <w:bottom w:w="0" w:type="dxa"/>
      </w:tblCellMar>
    </w:tblPr>
  </w:style>
  <w:style w:type="paragraph" w:styleId="987" w:customStyle="1">
    <w:name w:val="Header"/>
    <w:basedOn w:val="799"/>
    <w:link w:val="988"/>
    <w:uiPriority w:val="99"/>
    <w:semiHidden/>
    <w:unhideWhenUsed/>
    <w:pPr>
      <w:tabs>
        <w:tab w:val="center" w:pos="4677" w:leader="none"/>
        <w:tab w:val="right" w:pos="9355" w:leader="none"/>
      </w:tabs>
    </w:pPr>
  </w:style>
  <w:style w:type="character" w:styleId="988" w:customStyle="1">
    <w:name w:val="Верхний колонтитул Знак"/>
    <w:basedOn w:val="804"/>
    <w:link w:val="987"/>
    <w:uiPriority w:val="99"/>
    <w:semiHidden/>
    <w:rPr>
      <w:rFonts w:ascii="Times New Roman" w:hAnsi="Times New Roman"/>
      <w:color w:val="000000"/>
      <w:sz w:val="26"/>
      <w:szCs w:val="22"/>
      <w:lang w:val="en-US" w:eastAsia="en-US"/>
    </w:rPr>
  </w:style>
  <w:style w:type="paragraph" w:styleId="989" w:customStyle="1">
    <w:name w:val="Footer"/>
    <w:basedOn w:val="799"/>
    <w:link w:val="990"/>
    <w:uiPriority w:val="99"/>
    <w:semiHidden/>
    <w:unhideWhenUsed/>
    <w:pPr>
      <w:tabs>
        <w:tab w:val="center" w:pos="4677" w:leader="none"/>
        <w:tab w:val="right" w:pos="9355" w:leader="none"/>
      </w:tabs>
    </w:pPr>
  </w:style>
  <w:style w:type="character" w:styleId="990" w:customStyle="1">
    <w:name w:val="Нижний колонтитул Знак"/>
    <w:basedOn w:val="804"/>
    <w:link w:val="989"/>
    <w:uiPriority w:val="99"/>
    <w:semiHidden/>
    <w:rPr>
      <w:rFonts w:ascii="Times New Roman" w:hAnsi="Times New Roman"/>
      <w:color w:val="000000"/>
      <w:sz w:val="26"/>
      <w:szCs w:val="22"/>
      <w:lang w:val="en-US" w:eastAsia="en-US"/>
    </w:rPr>
  </w:style>
  <w:style w:type="paragraph" w:styleId="991" w:customStyle="1">
    <w:name w:val="Абзац списка1"/>
    <w:basedOn w:val="799"/>
    <w:link w:val="992"/>
    <w:uiPriority w:val="99"/>
    <w:qFormat/>
    <w:pPr>
      <w:contextualSpacing/>
      <w:ind w:left="720" w:right="0" w:firstLine="0"/>
      <w:jc w:val="left"/>
      <w:spacing w:after="0" w:line="240" w:lineRule="auto"/>
    </w:pPr>
    <w:rPr>
      <w:color w:val="auto"/>
      <w:sz w:val="24"/>
      <w:szCs w:val="24"/>
      <w:lang w:val="ru-RU" w:eastAsia="ru-RU"/>
    </w:rPr>
  </w:style>
  <w:style w:type="character" w:styleId="992" w:customStyle="1">
    <w:name w:val="List Paragraph Char"/>
    <w:basedOn w:val="804"/>
    <w:link w:val="991"/>
    <w:uiPriority w:val="99"/>
    <w:rPr>
      <w:rFonts w:ascii="Times New Roman" w:hAnsi="Times New Roman"/>
      <w:sz w:val="24"/>
      <w:szCs w:val="24"/>
    </w:rPr>
  </w:style>
  <w:style w:type="paragraph" w:styleId="993">
    <w:name w:val="Body Text"/>
    <w:basedOn w:val="799"/>
    <w:link w:val="994"/>
    <w:uiPriority w:val="1"/>
    <w:qFormat/>
    <w:pPr>
      <w:ind w:right="0" w:firstLine="0"/>
      <w:jc w:val="left"/>
      <w:spacing w:after="140" w:line="276" w:lineRule="auto"/>
    </w:pPr>
    <w:rPr>
      <w:rFonts w:ascii="Calibri" w:hAnsi="Calibri" w:cs="Calibri"/>
      <w:color w:val="auto"/>
      <w:sz w:val="22"/>
      <w:lang w:val="ru-RU" w:eastAsia="zh-CN"/>
    </w:rPr>
  </w:style>
  <w:style w:type="character" w:styleId="994" w:customStyle="1">
    <w:name w:val="Основной текст Знак"/>
    <w:basedOn w:val="804"/>
    <w:link w:val="993"/>
    <w:uiPriority w:val="1"/>
    <w:qFormat/>
    <w:rPr>
      <w:rFonts w:cs="Calibri"/>
      <w:sz w:val="22"/>
      <w:szCs w:val="22"/>
      <w:lang w:eastAsia="zh-CN"/>
    </w:rPr>
  </w:style>
  <w:style w:type="character" w:styleId="995" w:customStyle="1">
    <w:name w:val="Символ сноски"/>
    <w:basedOn w:val="804"/>
    <w:rPr>
      <w:vertAlign w:val="superscript"/>
    </w:rPr>
  </w:style>
  <w:style w:type="paragraph" w:styleId="996">
    <w:name w:val="footnote text"/>
    <w:basedOn w:val="799"/>
    <w:link w:val="997"/>
    <w:uiPriority w:val="99"/>
    <w:pPr>
      <w:ind w:right="0" w:firstLine="0"/>
      <w:jc w:val="left"/>
      <w:spacing w:after="0" w:line="240" w:lineRule="auto"/>
    </w:pPr>
    <w:rPr>
      <w:color w:val="auto"/>
      <w:sz w:val="20"/>
      <w:szCs w:val="20"/>
      <w:lang w:val="ru-RU" w:eastAsia="zh-CN"/>
    </w:rPr>
  </w:style>
  <w:style w:type="character" w:styleId="997" w:customStyle="1">
    <w:name w:val="Текст сноски Знак"/>
    <w:basedOn w:val="804"/>
    <w:link w:val="996"/>
    <w:uiPriority w:val="99"/>
    <w:rPr>
      <w:rFonts w:ascii="Times New Roman" w:hAnsi="Times New Roman"/>
      <w:lang w:eastAsia="zh-CN"/>
    </w:rPr>
  </w:style>
  <w:style w:type="table" w:styleId="998">
    <w:name w:val="Table Grid"/>
    <w:basedOn w:val="805"/>
    <w:uiPriority w:val="39"/>
    <w:tblP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108" w:type="dxa"/>
        <w:top w:w="0" w:type="dxa"/>
        <w:right w:w="108" w:type="dxa"/>
        <w:bottom w:w="0" w:type="dxa"/>
      </w:tblCellMar>
    </w:tblPr>
  </w:style>
  <w:style w:type="paragraph" w:styleId="999" w:customStyle="1">
    <w:name w:val="Table Paragraph"/>
    <w:basedOn w:val="799"/>
    <w:uiPriority w:val="1"/>
    <w:qFormat/>
    <w:pPr>
      <w:ind w:right="0" w:firstLine="0"/>
      <w:jc w:val="left"/>
      <w:spacing w:after="0" w:line="240" w:lineRule="auto"/>
      <w:widowControl w:val="off"/>
    </w:pPr>
    <w:rPr>
      <w:color w:val="auto"/>
      <w:sz w:val="22"/>
      <w:lang w:val="ru-RU" w:eastAsia="ru-RU" w:bidi="ru-RU"/>
    </w:rPr>
  </w:style>
  <w:style w:type="character" w:styleId="1000">
    <w:name w:val="footnote reference"/>
    <w:basedOn w:val="804"/>
    <w:uiPriority w:val="99"/>
    <w:rPr>
      <w:rFonts w:cs="Times New Roman"/>
      <w:vertAlign w:val="superscript"/>
    </w:rPr>
  </w:style>
  <w:style w:type="paragraph" w:styleId="1001">
    <w:name w:val="Balloon Text"/>
    <w:basedOn w:val="799"/>
    <w:link w:val="1002"/>
    <w:uiPriority w:val="99"/>
    <w:semiHidden/>
    <w:unhideWhenUsed/>
    <w:pPr>
      <w:spacing w:after="0" w:line="240" w:lineRule="auto"/>
    </w:pPr>
    <w:rPr>
      <w:rFonts w:ascii="Tahoma" w:hAnsi="Tahoma" w:cs="Tahoma"/>
      <w:sz w:val="16"/>
      <w:szCs w:val="16"/>
    </w:rPr>
  </w:style>
  <w:style w:type="character" w:styleId="1002" w:customStyle="1">
    <w:name w:val="Текст выноски Знак"/>
    <w:basedOn w:val="804"/>
    <w:link w:val="1001"/>
    <w:uiPriority w:val="99"/>
    <w:semiHidden/>
    <w:rPr>
      <w:rFonts w:ascii="Tahoma" w:hAnsi="Tahoma" w:cs="Tahoma"/>
      <w:color w:val="000000"/>
      <w:sz w:val="16"/>
      <w:szCs w:val="16"/>
      <w:lang w:val="en-US" w:eastAsia="en-US"/>
    </w:rPr>
  </w:style>
  <w:style w:type="paragraph" w:styleId="1003">
    <w:name w:val="List Paragraph"/>
    <w:basedOn w:val="799"/>
    <w:uiPriority w:val="34"/>
    <w:qFormat/>
    <w:pPr>
      <w:contextualSpacing/>
      <w:ind w:left="720"/>
    </w:pPr>
  </w:style>
  <w:style w:type="character" w:styleId="1004" w:customStyle="1">
    <w:name w:val="Заголовок 1 Знак1"/>
    <w:basedOn w:val="804"/>
    <w:link w:val="800"/>
    <w:uiPriority w:val="9"/>
    <w:rPr>
      <w:rFonts w:asciiTheme="majorHAnsi" w:hAnsiTheme="majorHAnsi" w:eastAsiaTheme="majorEastAsia" w:cstheme="majorBidi"/>
      <w:b/>
      <w:bCs/>
      <w:color w:val="365f91" w:themeColor="accent1" w:themeShade="BF"/>
      <w:sz w:val="28"/>
      <w:szCs w:val="28"/>
      <w:lang w:val="en-US" w:eastAsia="en-US"/>
    </w:rPr>
  </w:style>
  <w:style w:type="character" w:styleId="1005" w:customStyle="1">
    <w:name w:val="Заголовок 2 Знак1"/>
    <w:basedOn w:val="804"/>
    <w:link w:val="801"/>
    <w:uiPriority w:val="9"/>
    <w:semiHidden/>
    <w:rPr>
      <w:rFonts w:asciiTheme="majorHAnsi" w:hAnsiTheme="majorHAnsi" w:eastAsiaTheme="majorEastAsia" w:cstheme="majorBidi"/>
      <w:b/>
      <w:bCs/>
      <w:color w:val="4f81bd" w:themeColor="accent1"/>
      <w:sz w:val="26"/>
      <w:szCs w:val="26"/>
      <w:lang w:val="en-US" w:eastAsia="en-US"/>
    </w:rPr>
  </w:style>
  <w:style w:type="character" w:styleId="1006" w:customStyle="1">
    <w:name w:val="Заголовок 3 Знак1"/>
    <w:basedOn w:val="804"/>
    <w:link w:val="802"/>
    <w:uiPriority w:val="9"/>
    <w:semiHidden/>
    <w:rPr>
      <w:rFonts w:asciiTheme="majorHAnsi" w:hAnsiTheme="majorHAnsi" w:eastAsiaTheme="majorEastAsia" w:cstheme="majorBidi"/>
      <w:b/>
      <w:bCs/>
      <w:color w:val="4f81bd" w:themeColor="accent1"/>
      <w:sz w:val="26"/>
      <w:szCs w:val="22"/>
      <w:lang w:val="en-US" w:eastAsia="en-US"/>
    </w:rPr>
  </w:style>
  <w:style w:type="character" w:styleId="1007" w:customStyle="1">
    <w:name w:val="Заголовок 4 Знак1"/>
    <w:basedOn w:val="804"/>
    <w:link w:val="803"/>
    <w:uiPriority w:val="9"/>
    <w:semiHidden/>
    <w:rPr>
      <w:rFonts w:asciiTheme="majorHAnsi" w:hAnsiTheme="majorHAnsi" w:eastAsiaTheme="majorEastAsia" w:cstheme="majorBidi"/>
      <w:b/>
      <w:bCs/>
      <w:i/>
      <w:iCs/>
      <w:color w:val="4f81bd" w:themeColor="accent1"/>
      <w:sz w:val="26"/>
      <w:szCs w:val="22"/>
      <w:lang w:val="en-US" w:eastAsia="en-US"/>
    </w:rPr>
  </w:style>
  <w:style w:type="table" w:styleId="1008" w:customStyle="1">
    <w:name w:val="Table Grid"/>
    <w:rPr>
      <w:sz w:val="22"/>
      <w:szCs w:val="22"/>
      <w:lang w:val="en-US" w:eastAsia="en-US"/>
    </w:rPr>
    <w:tblPr>
      <w:tblCellMar>
        <w:left w:w="0" w:type="dxa"/>
        <w:top w:w="0" w:type="dxa"/>
        <w:right w:w="0" w:type="dxa"/>
        <w:bottom w:w="0" w:type="dxa"/>
      </w:tblCellMar>
    </w:tblPr>
  </w:style>
  <w:style w:type="paragraph" w:styleId="1009">
    <w:name w:val="Header"/>
    <w:basedOn w:val="799"/>
    <w:link w:val="1010"/>
    <w:uiPriority w:val="99"/>
    <w:semiHidden/>
    <w:unhideWhenUsed/>
    <w:pPr>
      <w:tabs>
        <w:tab w:val="center" w:pos="4677" w:leader="none"/>
        <w:tab w:val="right" w:pos="9355" w:leader="none"/>
      </w:tabs>
    </w:pPr>
  </w:style>
  <w:style w:type="character" w:styleId="1010" w:customStyle="1">
    <w:name w:val="Верхний колонтитул Знак1"/>
    <w:basedOn w:val="804"/>
    <w:link w:val="1009"/>
    <w:uiPriority w:val="99"/>
    <w:semiHidden/>
    <w:rPr>
      <w:rFonts w:ascii="Times New Roman" w:hAnsi="Times New Roman"/>
      <w:color w:val="000000"/>
      <w:sz w:val="26"/>
      <w:szCs w:val="22"/>
      <w:lang w:val="en-US" w:eastAsia="en-US"/>
    </w:rPr>
  </w:style>
  <w:style w:type="paragraph" w:styleId="1011">
    <w:name w:val="Footer"/>
    <w:basedOn w:val="799"/>
    <w:link w:val="1012"/>
    <w:uiPriority w:val="99"/>
    <w:semiHidden/>
    <w:unhideWhenUsed/>
    <w:pPr>
      <w:tabs>
        <w:tab w:val="center" w:pos="4677" w:leader="none"/>
        <w:tab w:val="right" w:pos="9355" w:leader="none"/>
      </w:tabs>
    </w:pPr>
  </w:style>
  <w:style w:type="character" w:styleId="1012" w:customStyle="1">
    <w:name w:val="Нижний колонтитул Знак1"/>
    <w:basedOn w:val="804"/>
    <w:link w:val="1011"/>
    <w:uiPriority w:val="99"/>
    <w:semiHidden/>
    <w:rPr>
      <w:rFonts w:ascii="Times New Roman" w:hAnsi="Times New Roman"/>
      <w:color w:val="000000"/>
      <w:sz w:val="26"/>
      <w:szCs w:val="22"/>
      <w:lang w:val="en-US" w:eastAsia="en-US"/>
    </w:rPr>
  </w:style>
  <w:style w:type="table" w:styleId="1013" w:customStyle="1">
    <w:name w:val="Table Normal"/>
    <w:uiPriority w:val="2"/>
    <w:semiHidden/>
    <w:unhideWhenUsed/>
    <w:qFormat/>
    <w:pPr>
      <w:widowControl w:val="off"/>
    </w:pPr>
    <w:rPr>
      <w:rFonts w:asciiTheme="minorHAnsi" w:hAnsiTheme="minorHAnsi" w:eastAsiaTheme="minorHAnsi" w:cstheme="minorBidi"/>
      <w:sz w:val="22"/>
      <w:szCs w:val="22"/>
      <w:lang w:val="en-US" w:eastAsia="en-US"/>
    </w:rPr>
    <w:tblPr>
      <w:tblInd w:w="0" w:type="dxa"/>
      <w:tblCellMar>
        <w:left w:w="0" w:type="dxa"/>
        <w:top w:w="0" w:type="dxa"/>
        <w:right w:w="0" w:type="dxa"/>
        <w:bottom w:w="0" w:type="dxa"/>
      </w:tblCellMar>
    </w:tblPr>
  </w:style>
  <w:style w:type="paragraph" w:styleId="1014" w:customStyle="1">
    <w:name w:val="Default"/>
    <w:rPr>
      <w:rFonts w:ascii="Times New Roman" w:hAnsi="Times New Roman"/>
      <w:color w:val="000000"/>
      <w:sz w:val="24"/>
      <w:szCs w:val="24"/>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footer" Target="footer2.xml" /><Relationship Id="rId11" Type="http://schemas.openxmlformats.org/officeDocument/2006/relationships/customXml" Target="../customXml/item1.xml" /><Relationship Id="rId12" Type="http://schemas.openxmlformats.org/officeDocument/2006/relationships/image" Target="media/image1.emf"/><Relationship Id="rId13" Type="http://schemas.openxmlformats.org/officeDocument/2006/relationships/image" Target="media/image2.emf"/><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C3687F-1847-495B-BDC6-F98C8F6628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Р7-Офис/2024.1.1.373</Application>
  <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Малова Виктория Витальевна</dc:creator>
  <cp:keywords/>
  <dc:description/>
  <cp:revision>257</cp:revision>
  <dcterms:created xsi:type="dcterms:W3CDTF">2021-05-27T14:16:00Z</dcterms:created>
  <dcterms:modified xsi:type="dcterms:W3CDTF">2025-02-14T07:09:28Z</dcterms:modified>
</cp:coreProperties>
</file>