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913"/>
      </w:tblGrid>
      <w:tr>
        <w:tblPrEx/>
        <w:trPr/>
        <w:tc>
          <w:tcPr>
            <w:tcW w:w="5508" w:type="dxa"/>
            <w:textDirection w:val="lrTb"/>
            <w:noWrap w:val="false"/>
          </w:tcPr>
          <w:p>
            <w:pPr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W w:w="491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приказом Министерства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образования области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________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2025 года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(приложение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)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Инструкция для общественных наблюдателе</w:t>
      </w:r>
      <w:r>
        <w:rPr>
          <w:rFonts w:ascii="Times New Roman" w:hAnsi="Times New Roman"/>
          <w:sz w:val="28"/>
          <w:szCs w:val="28"/>
        </w:rPr>
        <w:t xml:space="preserve">й при проведении государственной итоговой аттестации по образовательным программам среднего общего образования на территории Вологодской области, осуществляющих общественное наблюдение дистанционно с использованием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Подготовка онлайн-наблюдателей. Права и обязанности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Настоящая инструкция разработана для граждан Российской Федерации,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</w:t>
      </w:r>
      <w:r>
        <w:rPr>
          <w:rFonts w:ascii="Times New Roman" w:hAnsi="Times New Roman"/>
          <w:sz w:val="28"/>
          <w:szCs w:val="28"/>
        </w:rPr>
        <w:t xml:space="preserve">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 Федеральной службы по надзору в сфере образования и науки от 26 августа 2022 года № 924, и планирующи</w:t>
      </w:r>
      <w:r>
        <w:rPr>
          <w:rFonts w:ascii="Times New Roman" w:hAnsi="Times New Roman"/>
          <w:sz w:val="28"/>
          <w:szCs w:val="28"/>
        </w:rPr>
        <w:t xml:space="preserve">х осуществлять общественное наблюдение при проведении государственной итоговой аттестации по образовательным программам среднего общего образования (далее – ГИА) дистанционно с использованием информационно-коммуникационных технологий (онлайн-наблюдателей).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ind w:left="0"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Общественное наблюдение при проведении ГИА дистанционно с использованием информационно-коммуникац</w:t>
      </w:r>
      <w:r>
        <w:rPr>
          <w:rFonts w:ascii="Times New Roman" w:hAnsi="Times New Roman"/>
          <w:sz w:val="28"/>
          <w:szCs w:val="28"/>
        </w:rPr>
        <w:t xml:space="preserve">ионных технологий осуществляется в Ситуационном центре Вологодской области по осуществлению видеонаблюдения за процедурой проведения государственной итоговой аттестации по образовательным программам среднего общего образования (далее – Ситуационный центр).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Онлайн-наблюдатель проходит соответствующую подготовку и знакомится с нормативными правовыми документами федерального и регионального законодательства, регламентирующими организацию и проведение ГИА.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1.3. Не позднее, чем за один день до начала первого экзамена в соответствии с расписанием единого государственного экзамена (далее – ЕГЭ), государственного выпускного экзамена онлайн-наблюдатели проходят инструктаж по работе с порталом </w:t>
      </w:r>
      <w:r>
        <w:rPr>
          <w:rFonts w:ascii="Times New Roman" w:hAnsi="Times New Roman"/>
          <w:sz w:val="28"/>
          <w:szCs w:val="28"/>
          <w:lang w:val="en-US"/>
        </w:rPr>
        <w:t xml:space="preserve">smotriege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</w:rPr>
        <w:t xml:space="preserve">, организованный куратором Ситуационного центра.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950"/>
        <w:ind w:left="0"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В целях обеспечения соблюдения Порядка проведения ГИА общественным наблюдателям предоставляется право: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94"/>
        <w:numPr>
          <w:ilvl w:val="0"/>
          <w:numId w:val="14"/>
        </w:numPr>
        <w:ind w:left="0" w:firstLine="360"/>
        <w:jc w:val="both"/>
        <w:spacing w:after="0" w:line="240" w:lineRule="auto"/>
        <w:tabs>
          <w:tab w:val="num" w:pos="0" w:leader="none"/>
          <w:tab w:val="left" w:pos="374" w:leader="none"/>
          <w:tab w:val="left" w:pos="11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осуществлять видеонаблюдение (в реж</w:t>
      </w:r>
      <w:r>
        <w:rPr>
          <w:rFonts w:ascii="Times New Roman" w:hAnsi="Times New Roman"/>
          <w:sz w:val="28"/>
          <w:szCs w:val="28"/>
        </w:rPr>
        <w:t xml:space="preserve">име онлайн не более 4 объектов) за ходом проведения ЕГЭ в пунктах проведения экзаменов (далее – ППЭ), работы регионального центра обработки информации при организации и проведения итогового сочинения (изложения), итогового собеседования по русскому языку, </w:t>
      </w:r>
      <w:r>
        <w:rPr>
          <w:rFonts w:ascii="Times New Roman" w:hAnsi="Times New Roman"/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образования, государственной итоговой аттестации по образовательным программам основного общего образования на территории Вологодской области (далее – РЦОИ), местах </w:t>
      </w:r>
      <w:r>
        <w:rPr>
          <w:rFonts w:ascii="Times New Roman" w:hAnsi="Times New Roman"/>
          <w:sz w:val="28"/>
          <w:szCs w:val="28"/>
        </w:rPr>
        <w:t xml:space="preserve">работы апелляционной комиссии Вологодской области при проведении ГИА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АК) и предметных комиссий Вологодской области при проведении ГИА (далее – ПК);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94"/>
        <w:numPr>
          <w:ilvl w:val="0"/>
          <w:numId w:val="14"/>
        </w:numPr>
        <w:ind w:left="0" w:firstLine="360"/>
        <w:jc w:val="both"/>
        <w:spacing w:after="0" w:line="240" w:lineRule="auto"/>
        <w:tabs>
          <w:tab w:val="num" w:pos="0" w:leader="none"/>
          <w:tab w:val="left" w:pos="374" w:leader="none"/>
          <w:tab w:val="left" w:pos="11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выявлять нарушения Порядка проведения ГИА в ППЭ, РЦОИ, местах работы ПК и АК на портале </w:t>
      </w:r>
      <w:r>
        <w:rPr>
          <w:rFonts w:ascii="Times New Roman" w:hAnsi="Times New Roman"/>
          <w:sz w:val="28"/>
          <w:szCs w:val="28"/>
          <w:lang w:val="en-US"/>
        </w:rPr>
        <w:t xml:space="preserve">smotriege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</w:rPr>
        <w:t xml:space="preserve"> (посредством фиксации возможных нарушений Порядка проведения ГИА соответствующими метками);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94"/>
        <w:numPr>
          <w:ilvl w:val="0"/>
          <w:numId w:val="14"/>
        </w:numPr>
        <w:ind w:left="0" w:firstLine="360"/>
        <w:jc w:val="both"/>
        <w:spacing w:after="0" w:line="240" w:lineRule="auto"/>
        <w:tabs>
          <w:tab w:val="num" w:pos="0" w:leader="none"/>
          <w:tab w:val="left" w:pos="374" w:leader="none"/>
          <w:tab w:val="left" w:pos="11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осуществлять просмотр видеозаписей в разделе «Видеоархив» из ППЭ, РЦОИ, в том числе из офлайн-аудиторий (при наличии сформированных заданий куратором Ситуационного центра);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94"/>
        <w:numPr>
          <w:ilvl w:val="0"/>
          <w:numId w:val="14"/>
        </w:numPr>
        <w:ind w:left="0" w:firstLine="360"/>
        <w:jc w:val="both"/>
        <w:spacing w:after="0" w:line="240" w:lineRule="auto"/>
        <w:tabs>
          <w:tab w:val="num" w:pos="0" w:leader="none"/>
          <w:tab w:val="left" w:pos="374" w:leader="none"/>
          <w:tab w:val="left" w:pos="1122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осуществлять взаимодействие в ходе проведения экзаменов с куратором Си</w:t>
      </w:r>
      <w:r>
        <w:rPr>
          <w:rFonts w:ascii="Times New Roman" w:hAnsi="Times New Roman"/>
          <w:sz w:val="28"/>
          <w:szCs w:val="28"/>
          <w:highlight w:val="white"/>
        </w:rPr>
        <w:t xml:space="preserve">туационного центра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794"/>
        <w:numPr>
          <w:ilvl w:val="0"/>
          <w:numId w:val="14"/>
        </w:numPr>
        <w:ind w:left="0" w:firstLine="360"/>
        <w:jc w:val="both"/>
        <w:spacing w:after="0" w:line="240" w:lineRule="auto"/>
        <w:tabs>
          <w:tab w:val="num" w:pos="0" w:leader="none"/>
          <w:tab w:val="left" w:pos="374" w:leader="none"/>
          <w:tab w:val="left" w:pos="1122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1.5. Допуск онлайн-наблюдателей в Ситуационный центр осуществляется </w:t>
      </w:r>
      <w:r>
        <w:rPr>
          <w:rFonts w:ascii="Times New Roman" w:hAnsi="Times New Roman"/>
          <w:sz w:val="28"/>
          <w:szCs w:val="28"/>
        </w:rPr>
        <w:t xml:space="preserve">только при наличии у них документов, удостоверяющих личность и удостоверения общественного наблюдателя (приложение 7 к настоящему приказу).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pStyle w:val="774"/>
      </w:pPr>
      <w:r/>
      <w:bookmarkStart w:id="0" w:name="_Toc465762651"/>
      <w:r/>
      <w:r/>
    </w:p>
    <w:p>
      <w:pPr>
        <w:pStyle w:val="774"/>
      </w:pPr>
      <w:r>
        <w:t xml:space="preserve">2. </w:t>
      </w:r>
      <w:bookmarkEnd w:id="0"/>
      <w:r>
        <w:t xml:space="preserve">Осуществление онлайн-наблюдения</w:t>
      </w:r>
      <w:r/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В день проведения экзамена онлайн-наблюдатель: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2.1.1. Не позднее чем за один час (9 часов 00 минут) до начала проведения экзамена прибывает в Ситуационный центр в соответствии с утвержденным графиком наблюдения и регистрируется у куратора Ситуационного центра, </w:t>
      </w:r>
      <w:r>
        <w:rPr>
          <w:rFonts w:ascii="Times New Roman" w:hAnsi="Times New Roman"/>
          <w:sz w:val="28"/>
          <w:szCs w:val="28"/>
          <w:highlight w:val="white"/>
        </w:rPr>
        <w:t xml:space="preserve">предъявив документ, удостоверяющий личность, и удостоверение общественного наблюдателя;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2.1.2. Получае</w:t>
      </w:r>
      <w:r>
        <w:rPr>
          <w:rFonts w:ascii="Times New Roman" w:hAnsi="Times New Roman"/>
          <w:sz w:val="28"/>
          <w:szCs w:val="28"/>
        </w:rPr>
        <w:t xml:space="preserve">т задание у куратора Ситуационного центра;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Осуществляет онлайн-наблюдение за ходом проведения экзаменов в соответствии с расписанием ГИА.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Координацию деятельности онлайн-наблюдателей осуществляет куратор Ситуационного центра.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При осуществлении онлайн-наблюдения на портале smotriege.ru онлайн-наблюдателям запрещается: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использовать средства связи, электронно-вычислительную технику, фото-, аудио- и </w:t>
      </w:r>
      <w:r>
        <w:rPr>
          <w:rFonts w:ascii="Times New Roman" w:hAnsi="Times New Roman"/>
          <w:sz w:val="28"/>
          <w:szCs w:val="28"/>
        </w:rPr>
        <w:t xml:space="preserve">видеоаппаратуру,</w:t>
      </w:r>
      <w:r>
        <w:rPr>
          <w:rFonts w:ascii="Times New Roman" w:hAnsi="Times New Roman"/>
          <w:sz w:val="28"/>
          <w:szCs w:val="28"/>
        </w:rPr>
        <w:t xml:space="preserve"> и иные средства хранения и передачи информации;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давать оценку действиям нарушителей.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Любые действия с информацией, размещенной на портале smotriege.ru, включая сбор, хранение, обработку, предоставление, распространение, могут осуществляться исключительно с согласия Рособрнадзора.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информации, размещенной на портале smotriege.ru, без согласия Рособрнадзора влечет ответственность, установленную законодательством </w:t>
      </w:r>
      <w:r>
        <w:rPr>
          <w:rFonts w:ascii="Times New Roman" w:hAnsi="Times New Roman"/>
          <w:sz w:val="28"/>
          <w:szCs w:val="28"/>
        </w:rPr>
        <w:t xml:space="preserve">Российской Федерации, а также является нарушением трудовой (учебной) дисциплины. Незаконное использование изображения гражданина влечет специальную гражданско-правовую и в соответствующих случаях уголовную ответственность.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Онлайн-наблюдатель осуществляет проверку онлайн-трансляции из всех аудиторий и штабов ППЭ, запланированных для проведения экзаменов в соответствующий период ГИА (за </w:t>
      </w:r>
      <w:r>
        <w:rPr>
          <w:rFonts w:ascii="Times New Roman" w:hAnsi="Times New Roman"/>
          <w:sz w:val="28"/>
          <w:szCs w:val="28"/>
        </w:rPr>
        <w:t xml:space="preserve">исключением офлайн-аудиторий, согласованных Рособрнадзором), РЦОИ, мест работы ПК и АК, в том числе соблюдение следующих требований: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аудитории проведения экзамена в ППЭ просматриваются полностью (</w:t>
      </w:r>
      <w:r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обзор камер видеонаблюдения попадают все участники экзамена(фронтальное изображение) и их рабочие места, номера рабочих мест участников экзаменов, организаторы в аудитории, процесс печати и сканирования экзаменационных материалов</w:t>
      </w:r>
      <w:r>
        <w:rPr>
          <w:rFonts w:ascii="Times New Roman" w:hAnsi="Times New Roman"/>
          <w:sz w:val="28"/>
          <w:szCs w:val="28"/>
        </w:rPr>
        <w:t xml:space="preserve"> (далее – ЭМ) (включая компьютер, принтер и сканер), стол для осуществления раскладки и последующей упаковки ЭМ; обзор камер не загораживают различные предметы (мебель, цветы, видеопроекторы, шторы и пр.);видеозапись содержит следующую информацию: код ППЭ,</w:t>
      </w:r>
      <w:r>
        <w:rPr>
          <w:rFonts w:ascii="Times New Roman" w:hAnsi="Times New Roman"/>
          <w:sz w:val="28"/>
          <w:szCs w:val="28"/>
        </w:rPr>
        <w:t xml:space="preserve"> номер аудитории, дату экзамена, время). Трансляция осуществляется в режиме реального времени с 8:00 до 17:00 по местному времени или до момента завершения сканирования ЭМ в аудитории – в случае, ели в субъекте Российской Федерации используется технология.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штаб ППЭ просматривается полностью (</w:t>
      </w:r>
      <w:r>
        <w:rPr>
          <w:rFonts w:ascii="Times New Roman" w:hAnsi="Times New Roman" w:eastAsia="Calibri"/>
          <w:sz w:val="28"/>
          <w:szCs w:val="28"/>
        </w:rPr>
        <w:t xml:space="preserve">включая входную дверь, сейф для хранения ЭМ, станцию авторизации, процесс передачи ЭМ организаторами в аудитории руководителю ППЭ, процесс сканирования ЭМ после завершения экзамена, включая компьютер и сканер); онлай</w:t>
      </w:r>
      <w:r>
        <w:rPr>
          <w:rFonts w:ascii="Times New Roman" w:hAnsi="Times New Roman" w:eastAsia="Calibri"/>
          <w:sz w:val="28"/>
          <w:szCs w:val="28"/>
        </w:rPr>
        <w:t xml:space="preserve">н - трансляция начинается не позднее 7 часов 30 минут и завершается после передачи всех материалов руководителем ППЭ члену ГЭК. В случае если в ППЭ применяется технология сканирования ЭМ в ППЭ, видеозапись завершается после получения информации из РЦОИ об </w:t>
      </w:r>
      <w:r>
        <w:rPr>
          <w:rFonts w:ascii="Times New Roman" w:hAnsi="Times New Roman" w:eastAsia="Calibri"/>
          <w:sz w:val="28"/>
          <w:szCs w:val="28"/>
          <w:lang w:eastAsia="ru-RU"/>
        </w:rPr>
        <w:t xml:space="preserve">успешном получении и расшифровке переданных пакетов с электронными образами ЭМ, но не ранее 19:00</w:t>
      </w:r>
      <w:r>
        <w:rPr>
          <w:rFonts w:ascii="Times New Roman" w:hAnsi="Times New Roman" w:eastAsia="Calibri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widowControl w:val="off"/>
        <w:tabs>
          <w:tab w:val="left" w:pos="1134" w:leader="none"/>
          <w:tab w:val="left" w:pos="1276" w:leader="none"/>
        </w:tabs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помещения РЦОИ, помещения для работы ПК и АК просматриваются полностью; обзор камер не загораживают различные предметы; видеозапись содержит следующую информацию: код РЦОИ, номер аудитории, дату, время;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numPr>
          <w:ilvl w:val="0"/>
          <w:numId w:val="13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обес</w:t>
      </w:r>
      <w:r>
        <w:rPr>
          <w:rFonts w:ascii="Times New Roman" w:hAnsi="Times New Roman" w:eastAsia="Calibri"/>
          <w:sz w:val="28"/>
          <w:szCs w:val="28"/>
        </w:rPr>
        <w:t xml:space="preserve">печивается полный обзор камерами видеонаблюдения процесса передачи ЭМ членами ГЭК ответственному сотруднику РЦОИ и всех мест размещения и хранения ЭМ, процесса сканирования ЭМ и верификации, дверей помещения, в котором хранятся ЭМ, процесса работы ПК и АК.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contextualSpacing/>
        <w:ind w:left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Онлайн-наблюдатель осуществляет онлайн-наблюдение за </w:t>
      </w:r>
      <w:r>
        <w:rPr>
          <w:rFonts w:ascii="Times New Roman" w:hAnsi="Times New Roman"/>
          <w:sz w:val="28"/>
          <w:szCs w:val="28"/>
        </w:rPr>
        <w:t xml:space="preserve">проведением ГИА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ППЭ; проведением обработки ЭМ в РЦОИ; проведением проверки экзаменационных работ экспертами ПК; соблюдением </w:t>
      </w:r>
      <w:r>
        <w:rPr>
          <w:rFonts w:ascii="Times New Roman" w:hAnsi="Times New Roman" w:eastAsia="Calibri"/>
          <w:sz w:val="28"/>
          <w:szCs w:val="28"/>
        </w:rPr>
        <w:t xml:space="preserve">Порядка проведения ГИА при рассмотрении АК апелляций о нарушении Порядка проведения ГИА и о несогласии с выставленными баллами.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2.5. В случае выявления нарушений Порядка проведения ГИА онлайн-наблюдатель ставит соответствующие метки о нарушениях, которые направляются на модерацию (подтверждение/отклонение).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Перечень возможных нарушений.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Основными типами нарушений являются: средство связи, вынос КИМ, посторонние, разговоры, подсказки, шпаргалки, </w:t>
      </w:r>
      <w:r>
        <w:rPr>
          <w:rFonts w:ascii="Times New Roman" w:hAnsi="Times New Roman"/>
          <w:sz w:val="28"/>
          <w:szCs w:val="28"/>
          <w:lang w:eastAsia="ru-RU"/>
        </w:rPr>
        <w:t xml:space="preserve">камера, организатор и «прочее».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2.5.1.1. Тип «Средство связи» указывается, если онлайн - наблюдателем было замечено использование мобильного телефона, смарт-часов, </w:t>
      </w:r>
      <w:r>
        <w:rPr>
          <w:rFonts w:ascii="Times New Roman" w:hAnsi="Times New Roman"/>
          <w:sz w:val="28"/>
          <w:szCs w:val="28"/>
          <w:lang w:eastAsia="ru-RU"/>
        </w:rPr>
        <w:t xml:space="preserve">микронаушников</w:t>
      </w:r>
      <w:r>
        <w:rPr>
          <w:rFonts w:ascii="Times New Roman" w:hAnsi="Times New Roman"/>
          <w:sz w:val="28"/>
          <w:szCs w:val="28"/>
          <w:lang w:eastAsia="ru-RU"/>
        </w:rPr>
        <w:t xml:space="preserve"> или иного средства связи.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2.5.1.2. Тип «Вынос КИМ» указывается, если онлайн-наблюдателем был замечен вынос ЭМ из аудитории;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2.5.1.3. Тип «Посторонние» указывается, если онлайн-наблюдателем был замечен допуск (присутствие) посторонних лиц в аудиторию ППЭ.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2.5.1.4. Тип «Разговоры» указывается, если участники экзамена переговариваются друг с другом.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2.5.1.5. Тип «Подсказки» указывается, если организатор в аудитории подсказывает участникам экзамена.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2.5.1.6. Тип «Шпаргалка» указывается, если участники экзамена используют письменные справочные материалы, письменные заметки.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2.5.1.7. Тип «Камера» указывается, если: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numPr>
          <w:ilvl w:val="0"/>
          <w:numId w:val="8"/>
        </w:numPr>
        <w:ind w:left="0" w:firstLine="748"/>
        <w:jc w:val="both"/>
        <w:spacing w:after="0" w:line="240" w:lineRule="auto"/>
        <w:widowControl w:val="off"/>
        <w:tabs>
          <w:tab w:val="num" w:pos="0" w:leader="none"/>
          <w:tab w:val="left" w:pos="1122" w:leader="none"/>
          <w:tab w:val="clear" w:pos="142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видео транслируется ненадлежащего качества (нечеткое или с помехами);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numPr>
          <w:ilvl w:val="0"/>
          <w:numId w:val="8"/>
        </w:numPr>
        <w:ind w:left="0" w:firstLine="748"/>
        <w:jc w:val="both"/>
        <w:spacing w:after="0" w:line="240" w:lineRule="auto"/>
        <w:widowControl w:val="off"/>
        <w:tabs>
          <w:tab w:val="num" w:pos="0" w:leader="none"/>
          <w:tab w:val="left" w:pos="1122" w:leader="none"/>
          <w:tab w:val="clear" w:pos="142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обзор не соответствует требованиям, указанным в настоящем разделе;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numPr>
          <w:ilvl w:val="0"/>
          <w:numId w:val="8"/>
        </w:numPr>
        <w:ind w:left="0" w:firstLine="748"/>
        <w:jc w:val="both"/>
        <w:spacing w:after="0" w:line="240" w:lineRule="auto"/>
        <w:widowControl w:val="off"/>
        <w:tabs>
          <w:tab w:val="num" w:pos="0" w:leader="none"/>
          <w:tab w:val="left" w:pos="1122" w:leader="none"/>
          <w:tab w:val="clear" w:pos="142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посторонние предметы частично или полностью закрывают обзор.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48"/>
        <w:jc w:val="both"/>
        <w:spacing w:after="0" w:line="240" w:lineRule="auto"/>
        <w:widowControl w:val="off"/>
        <w:tabs>
          <w:tab w:val="num" w:pos="0" w:leader="none"/>
          <w:tab w:val="left" w:pos="11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2.5.1.8. Тип нарушений «Организатор» указ</w:t>
      </w:r>
      <w:r>
        <w:rPr>
          <w:rFonts w:ascii="Times New Roman" w:hAnsi="Times New Roman"/>
          <w:sz w:val="28"/>
          <w:szCs w:val="28"/>
          <w:lang w:eastAsia="ru-RU"/>
        </w:rPr>
        <w:t xml:space="preserve">ывается в случае нарушения организаторами в аудитории Порядка проведения ГИА, разговоры организаторов между собой, чтение литературы, разговоры с лицами, находящимися вне аудитории, при выходе из аудитории организатором не проверена комплектность ЭМ и т.п.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2.5.1.9. К типу нарушений «Прочее» относятся следующие нарушения: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numPr>
          <w:ilvl w:val="0"/>
          <w:numId w:val="8"/>
        </w:numPr>
        <w:ind w:left="0" w:firstLine="748"/>
        <w:jc w:val="both"/>
        <w:spacing w:after="0" w:line="240" w:lineRule="auto"/>
        <w:widowControl w:val="off"/>
        <w:tabs>
          <w:tab w:val="num" w:pos="0" w:leader="none"/>
          <w:tab w:val="left" w:pos="1122" w:leader="none"/>
          <w:tab w:val="clear" w:pos="142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пересаживание участников экзамена на другое место;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numPr>
          <w:ilvl w:val="0"/>
          <w:numId w:val="8"/>
        </w:numPr>
        <w:ind w:left="0" w:firstLine="748"/>
        <w:jc w:val="both"/>
        <w:spacing w:after="0" w:line="240" w:lineRule="auto"/>
        <w:widowControl w:val="off"/>
        <w:tabs>
          <w:tab w:val="num" w:pos="0" w:leader="none"/>
          <w:tab w:val="left" w:pos="1122" w:leader="none"/>
          <w:tab w:val="clear" w:pos="142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свободное перемещение участников экзамена по аудитории;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numPr>
          <w:ilvl w:val="0"/>
          <w:numId w:val="8"/>
        </w:numPr>
        <w:ind w:left="0" w:firstLine="748"/>
        <w:jc w:val="both"/>
        <w:spacing w:after="0" w:line="240" w:lineRule="auto"/>
        <w:widowControl w:val="off"/>
        <w:tabs>
          <w:tab w:val="num" w:pos="0" w:leader="none"/>
          <w:tab w:val="left" w:pos="1122" w:leader="none"/>
          <w:tab w:val="clear" w:pos="142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выход участников экзамена из аудитории без разрешения организатора;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numPr>
          <w:ilvl w:val="0"/>
          <w:numId w:val="8"/>
        </w:numPr>
        <w:ind w:left="0" w:firstLine="748"/>
        <w:jc w:val="both"/>
        <w:spacing w:after="0" w:line="240" w:lineRule="auto"/>
        <w:widowControl w:val="off"/>
        <w:tabs>
          <w:tab w:val="num" w:pos="0" w:leader="none"/>
          <w:tab w:val="left" w:pos="1122" w:leader="none"/>
          <w:tab w:val="clear" w:pos="142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выполнение экзаменационной работы после окончания экзамена.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</w: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04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Инструкции для общественных наблюдателе</w:t>
      </w:r>
      <w:r>
        <w:rPr>
          <w:rFonts w:ascii="Times New Roman" w:hAnsi="Times New Roman"/>
          <w:sz w:val="28"/>
          <w:szCs w:val="28"/>
        </w:rPr>
        <w:t xml:space="preserve">й при проведении государственной итоговой аттестации по образовательным программам среднего общего образования на территории Вологодской области, осуществляющих общественное наблюдение дистанционно с использованием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 о запрете использования видео- и фотоматериалов, графических, текстовых, программных и иных элементов содержания портала smotriege.ru и основных запретах при работе на данном портале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Настоящим общественный наблюдатель уведомляется, что все права на размещенную на портале smotriege.ru и</w:t>
      </w:r>
      <w:r>
        <w:rPr>
          <w:rFonts w:ascii="Times New Roman" w:hAnsi="Times New Roman"/>
          <w:sz w:val="28"/>
          <w:szCs w:val="28"/>
          <w:lang w:eastAsia="ru-RU"/>
        </w:rPr>
        <w:t xml:space="preserve">нформацию, в том числе видео- и фотоматериалы, графические, текстовые, программные и иные элементы содержания данного сайта (далее – Информация) принадлежат Федеральной службе по надзору в сфере образования и науки (Рособрнадзор) (далее – Правообладатель).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Любые действия с Информацией, включая сбор, хранение, обработку, предоставление, распространение, могут осуществляться исключительно с согласия Правообладателя.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Использование Информации без согласия Правообладателя влечет ответственность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, установленную законодательством Российской Федерации, а также является нарушением трудовой (учебной) дисциплины. Незаконное использование изображения гражданина влечет специальную гражданско-правовую и в соответствующих случаях уголовную ответственность.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При использовании портала smotriege.ru запрещается: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0"/>
        <w:numPr>
          <w:ilvl w:val="0"/>
          <w:numId w:val="11"/>
        </w:numPr>
        <w:contextualSpacing w:val="0"/>
        <w:ind w:left="0" w:firstLine="709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использовать ненормативную лексику, её производные, а также намеки на употребление лексических единиц, подпадающих под это определение;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0"/>
        <w:numPr>
          <w:ilvl w:val="0"/>
          <w:numId w:val="11"/>
        </w:numPr>
        <w:contextualSpacing w:val="0"/>
        <w:ind w:left="0" w:firstLine="709"/>
        <w:jc w:val="both"/>
        <w:spacing w:after="0" w:line="240" w:lineRule="auto"/>
        <w:tabs>
          <w:tab w:val="left" w:pos="1122" w:leader="none"/>
          <w:tab w:val="left" w:pos="130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использовать некорректные сравнения, оскорбления в адрес граждан, организаций или публично-правовых образований;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0"/>
        <w:numPr>
          <w:ilvl w:val="0"/>
          <w:numId w:val="11"/>
        </w:numPr>
        <w:contextualSpacing w:val="0"/>
        <w:ind w:left="0" w:firstLine="709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распространять информацию, направленную на разжигание социальной, расовой, национальной и религиозной розни;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0"/>
        <w:numPr>
          <w:ilvl w:val="0"/>
          <w:numId w:val="11"/>
        </w:numPr>
        <w:contextualSpacing w:val="0"/>
        <w:ind w:left="0" w:firstLine="709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пропагандировать дискриминацию по расовому, этническому, половому, религиозному и любому иному социальному признаку;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0"/>
        <w:numPr>
          <w:ilvl w:val="0"/>
          <w:numId w:val="11"/>
        </w:numPr>
        <w:contextualSpacing w:val="0"/>
        <w:ind w:left="0" w:firstLine="709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распространять информацию, направленную на насильственное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0"/>
        <w:numPr>
          <w:ilvl w:val="0"/>
          <w:numId w:val="11"/>
        </w:numPr>
        <w:contextualSpacing w:val="0"/>
        <w:ind w:left="0" w:firstLine="709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распространять информацию, содержащую публичные призывы к осуществлению террористической деятельности или публично оправдывающие </w:t>
      </w:r>
      <w:r>
        <w:rPr>
          <w:rFonts w:ascii="Times New Roman" w:hAnsi="Times New Roman"/>
          <w:sz w:val="28"/>
          <w:szCs w:val="28"/>
          <w:lang w:eastAsia="ru-RU"/>
        </w:rPr>
        <w:t xml:space="preserve">терроризм, сообщения, содержащие информацию экстремистского характера, пропагандирующие культ насилия и жестокости, содержащие нецензурную брань, а также иные сообщения, содержание которых запрещено действующим законодательством Российской Федерации; 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0"/>
        <w:numPr>
          <w:ilvl w:val="0"/>
          <w:numId w:val="11"/>
        </w:numPr>
        <w:contextualSpacing w:val="0"/>
        <w:ind w:left="0" w:firstLine="709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распространять персональные данные третьих лиц без их согласия;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0"/>
        <w:numPr>
          <w:ilvl w:val="0"/>
          <w:numId w:val="11"/>
        </w:numPr>
        <w:contextualSpacing w:val="0"/>
        <w:ind w:left="0" w:firstLine="709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распространять информацию рекламного характера.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Лист ознакомления с </w:t>
      </w:r>
      <w:r>
        <w:rPr>
          <w:rFonts w:ascii="Times New Roman" w:hAnsi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/>
          <w:sz w:val="28"/>
          <w:szCs w:val="28"/>
          <w:lang w:eastAsia="ru-RU"/>
        </w:rPr>
        <w:t xml:space="preserve">ведомлением 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center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запрете использования видео- и фотоматериалов, графических, текстовых, программных и иных элементов содержания портала smotriege.ru и основных запретах при работе на данном портале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tbl>
      <w:tblPr>
        <w:tblW w:w="991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703"/>
        <w:gridCol w:w="4111"/>
        <w:gridCol w:w="2173"/>
        <w:gridCol w:w="2924"/>
      </w:tblGrid>
      <w:tr>
        <w:tblPrEx/>
        <w:trPr>
          <w:trHeight w:val="6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п/п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Фамилия, имя, отчество полностью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Дата ознакомления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Личная подпись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spacing w:after="0" w:line="240" w:lineRule="auto"/>
        <w:tabs>
          <w:tab w:val="left" w:pos="-2268" w:leader="none"/>
          <w:tab w:val="left" w:pos="6096" w:leader="none"/>
        </w:tabs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Wingdings">
    <w:panose1 w:val="05010000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4"/>
      <w:rPr>
        <w:rStyle w:val="955"/>
        <w:rFonts w:ascii="Times New Roman" w:hAnsi="Times New Roman"/>
      </w:rPr>
      <w:framePr w:wrap="around" w:vAnchor="text" w:hAnchor="margin" w:xAlign="center" w:y="1"/>
    </w:pPr>
    <w:r>
      <w:rPr>
        <w:rFonts w:ascii="Times New Roman" w:hAnsi="Times New Roman"/>
      </w:rPr>
    </w:r>
    <w:r>
      <w:rPr>
        <w:rStyle w:val="955"/>
        <w:rFonts w:ascii="Times New Roman" w:hAnsi="Times New Roman"/>
      </w:rPr>
    </w:r>
    <w:r>
      <w:rPr>
        <w:rStyle w:val="955"/>
        <w:rFonts w:ascii="Times New Roman" w:hAnsi="Times New Roman"/>
      </w:rPr>
    </w:r>
  </w:p>
  <w:p>
    <w:pPr>
      <w:pStyle w:val="95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4"/>
      <w:rPr>
        <w:rStyle w:val="955"/>
      </w:rPr>
      <w:framePr w:wrap="around" w:vAnchor="text" w:hAnchor="margin" w:xAlign="center" w:y="1"/>
    </w:pPr>
    <w:r>
      <w:rPr>
        <w:rStyle w:val="955"/>
      </w:rPr>
      <w:fldChar w:fldCharType="begin"/>
    </w:r>
    <w:r>
      <w:rPr>
        <w:rStyle w:val="955"/>
      </w:rPr>
      <w:instrText xml:space="preserve">PAGE  </w:instrText>
    </w:r>
    <w:r>
      <w:rPr>
        <w:rStyle w:val="955"/>
      </w:rPr>
      <w:fldChar w:fldCharType="end"/>
    </w:r>
    <w:r>
      <w:rPr>
        <w:rStyle w:val="955"/>
      </w:rPr>
    </w:r>
    <w:r>
      <w:rPr>
        <w:rStyle w:val="955"/>
      </w:rPr>
    </w:r>
  </w:p>
  <w:p>
    <w:pPr>
      <w:pStyle w:val="954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  <w:tabs>
          <w:tab w:val="num" w:pos="1429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pStyle w:val="957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  <w:tabs>
          <w:tab w:val="num" w:pos="1429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  <w:tabs>
          <w:tab w:val="num" w:pos="1429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  <w:tabs>
          <w:tab w:val="num" w:pos="1429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6">
    <w:name w:val="Heading 1 Char"/>
    <w:basedOn w:val="782"/>
    <w:link w:val="773"/>
    <w:uiPriority w:val="9"/>
    <w:rPr>
      <w:rFonts w:ascii="Arial" w:hAnsi="Arial" w:eastAsia="Arial" w:cs="Arial"/>
      <w:sz w:val="40"/>
      <w:szCs w:val="40"/>
    </w:rPr>
  </w:style>
  <w:style w:type="character" w:styleId="757">
    <w:name w:val="Heading 3 Char"/>
    <w:basedOn w:val="782"/>
    <w:link w:val="775"/>
    <w:uiPriority w:val="9"/>
    <w:rPr>
      <w:rFonts w:ascii="Arial" w:hAnsi="Arial" w:eastAsia="Arial" w:cs="Arial"/>
      <w:sz w:val="30"/>
      <w:szCs w:val="30"/>
    </w:rPr>
  </w:style>
  <w:style w:type="character" w:styleId="758">
    <w:name w:val="Heading 4 Char"/>
    <w:basedOn w:val="782"/>
    <w:link w:val="776"/>
    <w:uiPriority w:val="9"/>
    <w:rPr>
      <w:rFonts w:ascii="Arial" w:hAnsi="Arial" w:eastAsia="Arial" w:cs="Arial"/>
      <w:b/>
      <w:bCs/>
      <w:sz w:val="26"/>
      <w:szCs w:val="26"/>
    </w:rPr>
  </w:style>
  <w:style w:type="character" w:styleId="759">
    <w:name w:val="Heading 5 Char"/>
    <w:basedOn w:val="782"/>
    <w:link w:val="777"/>
    <w:uiPriority w:val="9"/>
    <w:rPr>
      <w:rFonts w:ascii="Arial" w:hAnsi="Arial" w:eastAsia="Arial" w:cs="Arial"/>
      <w:b/>
      <w:bCs/>
      <w:sz w:val="24"/>
      <w:szCs w:val="24"/>
    </w:rPr>
  </w:style>
  <w:style w:type="character" w:styleId="760">
    <w:name w:val="Heading 6 Char"/>
    <w:basedOn w:val="782"/>
    <w:link w:val="778"/>
    <w:uiPriority w:val="9"/>
    <w:rPr>
      <w:rFonts w:ascii="Arial" w:hAnsi="Arial" w:eastAsia="Arial" w:cs="Arial"/>
      <w:b/>
      <w:bCs/>
      <w:sz w:val="22"/>
      <w:szCs w:val="22"/>
    </w:rPr>
  </w:style>
  <w:style w:type="character" w:styleId="761">
    <w:name w:val="Heading 7 Char"/>
    <w:basedOn w:val="782"/>
    <w:link w:val="7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>
    <w:name w:val="Heading 8 Char"/>
    <w:basedOn w:val="782"/>
    <w:link w:val="780"/>
    <w:uiPriority w:val="9"/>
    <w:rPr>
      <w:rFonts w:ascii="Arial" w:hAnsi="Arial" w:eastAsia="Arial" w:cs="Arial"/>
      <w:i/>
      <w:iCs/>
      <w:sz w:val="22"/>
      <w:szCs w:val="22"/>
    </w:rPr>
  </w:style>
  <w:style w:type="character" w:styleId="763">
    <w:name w:val="Heading 9 Char"/>
    <w:basedOn w:val="782"/>
    <w:link w:val="781"/>
    <w:uiPriority w:val="9"/>
    <w:rPr>
      <w:rFonts w:ascii="Arial" w:hAnsi="Arial" w:eastAsia="Arial" w:cs="Arial"/>
      <w:i/>
      <w:iCs/>
      <w:sz w:val="21"/>
      <w:szCs w:val="21"/>
    </w:rPr>
  </w:style>
  <w:style w:type="character" w:styleId="764">
    <w:name w:val="Title Char"/>
    <w:basedOn w:val="782"/>
    <w:link w:val="796"/>
    <w:uiPriority w:val="10"/>
    <w:rPr>
      <w:sz w:val="48"/>
      <w:szCs w:val="48"/>
    </w:rPr>
  </w:style>
  <w:style w:type="character" w:styleId="765">
    <w:name w:val="Subtitle Char"/>
    <w:basedOn w:val="782"/>
    <w:link w:val="798"/>
    <w:uiPriority w:val="11"/>
    <w:rPr>
      <w:sz w:val="24"/>
      <w:szCs w:val="24"/>
    </w:rPr>
  </w:style>
  <w:style w:type="character" w:styleId="766">
    <w:name w:val="Quote Char"/>
    <w:link w:val="800"/>
    <w:uiPriority w:val="29"/>
    <w:rPr>
      <w:i/>
    </w:rPr>
  </w:style>
  <w:style w:type="character" w:styleId="767">
    <w:name w:val="Intense Quote Char"/>
    <w:link w:val="802"/>
    <w:uiPriority w:val="30"/>
    <w:rPr>
      <w:i/>
    </w:rPr>
  </w:style>
  <w:style w:type="character" w:styleId="768">
    <w:name w:val="Header Char"/>
    <w:basedOn w:val="782"/>
    <w:link w:val="956"/>
    <w:uiPriority w:val="99"/>
  </w:style>
  <w:style w:type="character" w:styleId="769">
    <w:name w:val="Caption Char"/>
    <w:basedOn w:val="806"/>
    <w:link w:val="954"/>
    <w:uiPriority w:val="99"/>
  </w:style>
  <w:style w:type="character" w:styleId="770">
    <w:name w:val="Footnote Text Char"/>
    <w:link w:val="952"/>
    <w:uiPriority w:val="99"/>
    <w:rPr>
      <w:sz w:val="18"/>
    </w:rPr>
  </w:style>
  <w:style w:type="character" w:styleId="771">
    <w:name w:val="Endnote Text Char"/>
    <w:link w:val="935"/>
    <w:uiPriority w:val="99"/>
    <w:rPr>
      <w:sz w:val="20"/>
    </w:rPr>
  </w:style>
  <w:style w:type="paragraph" w:styleId="772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773">
    <w:name w:val="Heading 1"/>
    <w:basedOn w:val="772"/>
    <w:next w:val="772"/>
    <w:link w:val="785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774">
    <w:name w:val="Heading 2"/>
    <w:basedOn w:val="772"/>
    <w:next w:val="772"/>
    <w:link w:val="949"/>
    <w:qFormat/>
    <w:pPr>
      <w:jc w:val="center"/>
      <w:keepLines/>
      <w:keepNext/>
      <w:spacing w:after="0" w:line="240" w:lineRule="auto"/>
      <w:outlineLvl w:val="1"/>
    </w:pPr>
    <w:rPr>
      <w:rFonts w:ascii="Times New Roman" w:hAnsi="Times New Roman"/>
      <w:bCs/>
      <w:sz w:val="28"/>
      <w:szCs w:val="26"/>
    </w:rPr>
  </w:style>
  <w:style w:type="paragraph" w:styleId="775">
    <w:name w:val="Heading 3"/>
    <w:basedOn w:val="772"/>
    <w:next w:val="772"/>
    <w:link w:val="78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76">
    <w:name w:val="Heading 4"/>
    <w:basedOn w:val="772"/>
    <w:next w:val="772"/>
    <w:link w:val="78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772"/>
    <w:next w:val="772"/>
    <w:link w:val="78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8">
    <w:name w:val="Heading 6"/>
    <w:basedOn w:val="772"/>
    <w:next w:val="772"/>
    <w:link w:val="79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79">
    <w:name w:val="Heading 7"/>
    <w:basedOn w:val="772"/>
    <w:next w:val="772"/>
    <w:link w:val="79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80">
    <w:name w:val="Heading 8"/>
    <w:basedOn w:val="772"/>
    <w:next w:val="772"/>
    <w:link w:val="79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81">
    <w:name w:val="Heading 9"/>
    <w:basedOn w:val="772"/>
    <w:next w:val="772"/>
    <w:link w:val="79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2" w:default="1">
    <w:name w:val="Default Paragraph Font"/>
    <w:uiPriority w:val="1"/>
    <w:semiHidden/>
    <w:unhideWhenUsed/>
  </w:style>
  <w:style w:type="table" w:styleId="7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4" w:default="1">
    <w:name w:val="No List"/>
    <w:uiPriority w:val="99"/>
    <w:semiHidden/>
    <w:unhideWhenUsed/>
  </w:style>
  <w:style w:type="character" w:styleId="785" w:customStyle="1">
    <w:name w:val="Заголовок 1 Знак"/>
    <w:basedOn w:val="782"/>
    <w:link w:val="773"/>
    <w:uiPriority w:val="9"/>
    <w:rPr>
      <w:rFonts w:ascii="Arial" w:hAnsi="Arial" w:eastAsia="Arial" w:cs="Arial"/>
      <w:sz w:val="40"/>
      <w:szCs w:val="40"/>
    </w:rPr>
  </w:style>
  <w:style w:type="character" w:styleId="786" w:customStyle="1">
    <w:name w:val="Heading 2 Char"/>
    <w:basedOn w:val="782"/>
    <w:uiPriority w:val="9"/>
    <w:rPr>
      <w:rFonts w:ascii="Arial" w:hAnsi="Arial" w:eastAsia="Arial" w:cs="Arial"/>
      <w:sz w:val="34"/>
    </w:rPr>
  </w:style>
  <w:style w:type="character" w:styleId="787" w:customStyle="1">
    <w:name w:val="Заголовок 3 Знак"/>
    <w:basedOn w:val="782"/>
    <w:link w:val="775"/>
    <w:uiPriority w:val="9"/>
    <w:rPr>
      <w:rFonts w:ascii="Arial" w:hAnsi="Arial" w:eastAsia="Arial" w:cs="Arial"/>
      <w:sz w:val="30"/>
      <w:szCs w:val="30"/>
    </w:rPr>
  </w:style>
  <w:style w:type="character" w:styleId="788" w:customStyle="1">
    <w:name w:val="Заголовок 4 Знак"/>
    <w:basedOn w:val="782"/>
    <w:link w:val="776"/>
    <w:uiPriority w:val="9"/>
    <w:rPr>
      <w:rFonts w:ascii="Arial" w:hAnsi="Arial" w:eastAsia="Arial" w:cs="Arial"/>
      <w:b/>
      <w:bCs/>
      <w:sz w:val="26"/>
      <w:szCs w:val="26"/>
    </w:rPr>
  </w:style>
  <w:style w:type="character" w:styleId="789" w:customStyle="1">
    <w:name w:val="Заголовок 5 Знак"/>
    <w:basedOn w:val="782"/>
    <w:link w:val="777"/>
    <w:uiPriority w:val="9"/>
    <w:rPr>
      <w:rFonts w:ascii="Arial" w:hAnsi="Arial" w:eastAsia="Arial" w:cs="Arial"/>
      <w:b/>
      <w:bCs/>
      <w:sz w:val="24"/>
      <w:szCs w:val="24"/>
    </w:rPr>
  </w:style>
  <w:style w:type="character" w:styleId="790" w:customStyle="1">
    <w:name w:val="Заголовок 6 Знак"/>
    <w:basedOn w:val="782"/>
    <w:link w:val="778"/>
    <w:uiPriority w:val="9"/>
    <w:rPr>
      <w:rFonts w:ascii="Arial" w:hAnsi="Arial" w:eastAsia="Arial" w:cs="Arial"/>
      <w:b/>
      <w:bCs/>
      <w:sz w:val="22"/>
      <w:szCs w:val="22"/>
    </w:rPr>
  </w:style>
  <w:style w:type="character" w:styleId="791" w:customStyle="1">
    <w:name w:val="Заголовок 7 Знак"/>
    <w:basedOn w:val="782"/>
    <w:link w:val="7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2" w:customStyle="1">
    <w:name w:val="Заголовок 8 Знак"/>
    <w:basedOn w:val="782"/>
    <w:link w:val="780"/>
    <w:uiPriority w:val="9"/>
    <w:rPr>
      <w:rFonts w:ascii="Arial" w:hAnsi="Arial" w:eastAsia="Arial" w:cs="Arial"/>
      <w:i/>
      <w:iCs/>
      <w:sz w:val="22"/>
      <w:szCs w:val="22"/>
    </w:rPr>
  </w:style>
  <w:style w:type="character" w:styleId="793" w:customStyle="1">
    <w:name w:val="Заголовок 9 Знак"/>
    <w:basedOn w:val="782"/>
    <w:link w:val="781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List Paragraph"/>
    <w:basedOn w:val="772"/>
    <w:uiPriority w:val="34"/>
    <w:qFormat/>
    <w:pPr>
      <w:contextualSpacing/>
      <w:ind w:left="720"/>
    </w:pPr>
  </w:style>
  <w:style w:type="paragraph" w:styleId="795">
    <w:name w:val="No Spacing"/>
    <w:uiPriority w:val="1"/>
    <w:qFormat/>
  </w:style>
  <w:style w:type="paragraph" w:styleId="796">
    <w:name w:val="Title"/>
    <w:basedOn w:val="772"/>
    <w:next w:val="772"/>
    <w:link w:val="797"/>
    <w:uiPriority w:val="10"/>
    <w:qFormat/>
    <w:pPr>
      <w:contextualSpacing/>
      <w:spacing w:before="300"/>
    </w:pPr>
    <w:rPr>
      <w:sz w:val="48"/>
      <w:szCs w:val="48"/>
    </w:rPr>
  </w:style>
  <w:style w:type="character" w:styleId="797" w:customStyle="1">
    <w:name w:val="Заголовок Знак"/>
    <w:basedOn w:val="782"/>
    <w:link w:val="796"/>
    <w:uiPriority w:val="10"/>
    <w:rPr>
      <w:sz w:val="48"/>
      <w:szCs w:val="48"/>
    </w:rPr>
  </w:style>
  <w:style w:type="paragraph" w:styleId="798">
    <w:name w:val="Subtitle"/>
    <w:basedOn w:val="772"/>
    <w:next w:val="772"/>
    <w:link w:val="799"/>
    <w:uiPriority w:val="11"/>
    <w:qFormat/>
    <w:pPr>
      <w:spacing w:before="200"/>
    </w:pPr>
    <w:rPr>
      <w:sz w:val="24"/>
      <w:szCs w:val="24"/>
    </w:rPr>
  </w:style>
  <w:style w:type="character" w:styleId="799" w:customStyle="1">
    <w:name w:val="Подзаголовок Знак"/>
    <w:basedOn w:val="782"/>
    <w:link w:val="798"/>
    <w:uiPriority w:val="11"/>
    <w:rPr>
      <w:sz w:val="24"/>
      <w:szCs w:val="24"/>
    </w:rPr>
  </w:style>
  <w:style w:type="paragraph" w:styleId="800">
    <w:name w:val="Quote"/>
    <w:basedOn w:val="772"/>
    <w:next w:val="772"/>
    <w:link w:val="801"/>
    <w:uiPriority w:val="29"/>
    <w:qFormat/>
    <w:pPr>
      <w:ind w:left="720" w:right="720"/>
    </w:pPr>
    <w:rPr>
      <w:i/>
    </w:rPr>
  </w:style>
  <w:style w:type="character" w:styleId="801" w:customStyle="1">
    <w:name w:val="Цитата 2 Знак"/>
    <w:link w:val="800"/>
    <w:uiPriority w:val="29"/>
    <w:rPr>
      <w:i/>
    </w:rPr>
  </w:style>
  <w:style w:type="paragraph" w:styleId="802">
    <w:name w:val="Intense Quote"/>
    <w:basedOn w:val="772"/>
    <w:next w:val="772"/>
    <w:link w:val="8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 w:customStyle="1">
    <w:name w:val="Выделенная цитата Знак"/>
    <w:link w:val="802"/>
    <w:uiPriority w:val="30"/>
    <w:rPr>
      <w:i/>
    </w:rPr>
  </w:style>
  <w:style w:type="character" w:styleId="804" w:customStyle="1">
    <w:name w:val="Верхний колонтитул Знак"/>
    <w:basedOn w:val="782"/>
    <w:link w:val="956"/>
    <w:uiPriority w:val="99"/>
  </w:style>
  <w:style w:type="character" w:styleId="805" w:customStyle="1">
    <w:name w:val="Footer Char"/>
    <w:basedOn w:val="782"/>
    <w:uiPriority w:val="99"/>
  </w:style>
  <w:style w:type="paragraph" w:styleId="806">
    <w:name w:val="Caption"/>
    <w:basedOn w:val="772"/>
    <w:next w:val="77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7" w:customStyle="1">
    <w:name w:val="Нижний колонтитул Знак"/>
    <w:link w:val="954"/>
    <w:uiPriority w:val="99"/>
  </w:style>
  <w:style w:type="table" w:styleId="808" w:customStyle="1">
    <w:name w:val="Table Grid Light"/>
    <w:basedOn w:val="78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9">
    <w:name w:val="Plain Table 1"/>
    <w:basedOn w:val="78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2"/>
    <w:basedOn w:val="78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3"/>
    <w:basedOn w:val="78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2">
    <w:name w:val="Plain Table 4"/>
    <w:basedOn w:val="78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Plain Table 5"/>
    <w:basedOn w:val="78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4">
    <w:name w:val="Grid Table 1 Light"/>
    <w:basedOn w:val="78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1"/>
    <w:basedOn w:val="78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2"/>
    <w:basedOn w:val="78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3"/>
    <w:basedOn w:val="78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4"/>
    <w:basedOn w:val="78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5"/>
    <w:basedOn w:val="78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6"/>
    <w:basedOn w:val="78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2"/>
    <w:basedOn w:val="78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1"/>
    <w:basedOn w:val="78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2"/>
    <w:basedOn w:val="78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3"/>
    <w:basedOn w:val="78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4"/>
    <w:basedOn w:val="78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5"/>
    <w:basedOn w:val="78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6"/>
    <w:basedOn w:val="78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"/>
    <w:basedOn w:val="78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1"/>
    <w:basedOn w:val="78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2"/>
    <w:basedOn w:val="78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3"/>
    <w:basedOn w:val="78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4"/>
    <w:basedOn w:val="78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5"/>
    <w:basedOn w:val="78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6"/>
    <w:basedOn w:val="78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4"/>
    <w:basedOn w:val="78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6" w:customStyle="1">
    <w:name w:val="Grid Table 4 - Accent 1"/>
    <w:basedOn w:val="78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7" w:customStyle="1">
    <w:name w:val="Grid Table 4 - Accent 2"/>
    <w:basedOn w:val="78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Grid Table 4 - Accent 3"/>
    <w:basedOn w:val="78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9" w:customStyle="1">
    <w:name w:val="Grid Table 4 - Accent 4"/>
    <w:basedOn w:val="78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Grid Table 4 - Accent 5"/>
    <w:basedOn w:val="78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1" w:customStyle="1">
    <w:name w:val="Grid Table 4 - Accent 6"/>
    <w:basedOn w:val="78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2">
    <w:name w:val="Grid Table 5 Dark"/>
    <w:basedOn w:val="7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- Accent 1"/>
    <w:basedOn w:val="7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2"/>
    <w:basedOn w:val="7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3"/>
    <w:basedOn w:val="7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- Accent 4"/>
    <w:basedOn w:val="7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5"/>
    <w:basedOn w:val="7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6"/>
    <w:basedOn w:val="7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9">
    <w:name w:val="Grid Table 6 Colorful"/>
    <w:basedOn w:val="78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0" w:customStyle="1">
    <w:name w:val="Grid Table 6 Colorful - Accent 1"/>
    <w:basedOn w:val="78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1" w:customStyle="1">
    <w:name w:val="Grid Table 6 Colorful - Accent 2"/>
    <w:basedOn w:val="78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2" w:customStyle="1">
    <w:name w:val="Grid Table 6 Colorful - Accent 3"/>
    <w:basedOn w:val="78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3" w:customStyle="1">
    <w:name w:val="Grid Table 6 Colorful - Accent 4"/>
    <w:basedOn w:val="78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4" w:customStyle="1">
    <w:name w:val="Grid Table 6 Colorful - Accent 5"/>
    <w:basedOn w:val="78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6 Colorful - Accent 6"/>
    <w:basedOn w:val="78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6">
    <w:name w:val="Grid Table 7 Colorful"/>
    <w:basedOn w:val="78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1"/>
    <w:basedOn w:val="78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2"/>
    <w:basedOn w:val="78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3"/>
    <w:basedOn w:val="78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4"/>
    <w:basedOn w:val="78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5"/>
    <w:basedOn w:val="78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6"/>
    <w:basedOn w:val="78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"/>
    <w:basedOn w:val="78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1"/>
    <w:basedOn w:val="78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2"/>
    <w:basedOn w:val="78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3"/>
    <w:basedOn w:val="78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4"/>
    <w:basedOn w:val="78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5"/>
    <w:basedOn w:val="78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6"/>
    <w:basedOn w:val="78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2"/>
    <w:basedOn w:val="78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1"/>
    <w:basedOn w:val="78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2"/>
    <w:basedOn w:val="78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3"/>
    <w:basedOn w:val="78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4"/>
    <w:basedOn w:val="78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5"/>
    <w:basedOn w:val="78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6"/>
    <w:basedOn w:val="78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7">
    <w:name w:val="List Table 3"/>
    <w:basedOn w:val="78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1"/>
    <w:basedOn w:val="78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2"/>
    <w:basedOn w:val="78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3"/>
    <w:basedOn w:val="78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4"/>
    <w:basedOn w:val="78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5"/>
    <w:basedOn w:val="78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6"/>
    <w:basedOn w:val="78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"/>
    <w:basedOn w:val="78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1"/>
    <w:basedOn w:val="78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2"/>
    <w:basedOn w:val="78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3"/>
    <w:basedOn w:val="78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4"/>
    <w:basedOn w:val="78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5"/>
    <w:basedOn w:val="78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6"/>
    <w:basedOn w:val="78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5 Dark"/>
    <w:basedOn w:val="78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1"/>
    <w:basedOn w:val="78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2"/>
    <w:basedOn w:val="78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3"/>
    <w:basedOn w:val="78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4"/>
    <w:basedOn w:val="78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5"/>
    <w:basedOn w:val="78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6"/>
    <w:basedOn w:val="78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>
    <w:name w:val="List Table 6 Colorful"/>
    <w:basedOn w:val="78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9" w:customStyle="1">
    <w:name w:val="List Table 6 Colorful - Accent 1"/>
    <w:basedOn w:val="78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0" w:customStyle="1">
    <w:name w:val="List Table 6 Colorful - Accent 2"/>
    <w:basedOn w:val="78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1" w:customStyle="1">
    <w:name w:val="List Table 6 Colorful - Accent 3"/>
    <w:basedOn w:val="78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2" w:customStyle="1">
    <w:name w:val="List Table 6 Colorful - Accent 4"/>
    <w:basedOn w:val="78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3" w:customStyle="1">
    <w:name w:val="List Table 6 Colorful - Accent 5"/>
    <w:basedOn w:val="78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4" w:customStyle="1">
    <w:name w:val="List Table 6 Colorful - Accent 6"/>
    <w:basedOn w:val="78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5">
    <w:name w:val="List Table 7 Colorful"/>
    <w:basedOn w:val="78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1"/>
    <w:basedOn w:val="78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2"/>
    <w:basedOn w:val="78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3"/>
    <w:basedOn w:val="78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4"/>
    <w:basedOn w:val="78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5"/>
    <w:basedOn w:val="78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6"/>
    <w:basedOn w:val="78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ned - Accent"/>
    <w:basedOn w:val="7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3" w:customStyle="1">
    <w:name w:val="Lined - Accent 1"/>
    <w:basedOn w:val="7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4" w:customStyle="1">
    <w:name w:val="Lined - Accent 2"/>
    <w:basedOn w:val="7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5" w:customStyle="1">
    <w:name w:val="Lined - Accent 3"/>
    <w:basedOn w:val="7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6" w:customStyle="1">
    <w:name w:val="Lined - Accent 4"/>
    <w:basedOn w:val="7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7" w:customStyle="1">
    <w:name w:val="Lined - Accent 5"/>
    <w:basedOn w:val="7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8" w:customStyle="1">
    <w:name w:val="Lined - Accent 6"/>
    <w:basedOn w:val="7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9" w:customStyle="1">
    <w:name w:val="Bordered &amp; Lined - Accent"/>
    <w:basedOn w:val="78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0" w:customStyle="1">
    <w:name w:val="Bordered &amp; Lined - Accent 1"/>
    <w:basedOn w:val="78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1" w:customStyle="1">
    <w:name w:val="Bordered &amp; Lined - Accent 2"/>
    <w:basedOn w:val="78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2" w:customStyle="1">
    <w:name w:val="Bordered &amp; Lined - Accent 3"/>
    <w:basedOn w:val="78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3" w:customStyle="1">
    <w:name w:val="Bordered &amp; Lined - Accent 4"/>
    <w:basedOn w:val="78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4" w:customStyle="1">
    <w:name w:val="Bordered &amp; Lined - Accent 5"/>
    <w:basedOn w:val="78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5" w:customStyle="1">
    <w:name w:val="Bordered &amp; Lined - Accent 6"/>
    <w:basedOn w:val="78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6" w:customStyle="1">
    <w:name w:val="Bordered"/>
    <w:basedOn w:val="78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7" w:customStyle="1">
    <w:name w:val="Bordered - Accent 1"/>
    <w:basedOn w:val="78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8" w:customStyle="1">
    <w:name w:val="Bordered - Accent 2"/>
    <w:basedOn w:val="78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9" w:customStyle="1">
    <w:name w:val="Bordered - Accent 3"/>
    <w:basedOn w:val="78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0" w:customStyle="1">
    <w:name w:val="Bordered - Accent 4"/>
    <w:basedOn w:val="78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1" w:customStyle="1">
    <w:name w:val="Bordered - Accent 5"/>
    <w:basedOn w:val="78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2" w:customStyle="1">
    <w:name w:val="Bordered - Accent 6"/>
    <w:basedOn w:val="78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3">
    <w:name w:val="Hyperlink"/>
    <w:uiPriority w:val="99"/>
    <w:unhideWhenUsed/>
    <w:rPr>
      <w:color w:val="0000ff" w:themeColor="hyperlink"/>
      <w:u w:val="single"/>
    </w:rPr>
  </w:style>
  <w:style w:type="character" w:styleId="934" w:customStyle="1">
    <w:name w:val="Текст сноски Знак"/>
    <w:link w:val="952"/>
    <w:uiPriority w:val="99"/>
    <w:rPr>
      <w:sz w:val="18"/>
    </w:rPr>
  </w:style>
  <w:style w:type="paragraph" w:styleId="935">
    <w:name w:val="endnote text"/>
    <w:basedOn w:val="772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 w:customStyle="1">
    <w:name w:val="Текст концевой сноски Знак"/>
    <w:link w:val="935"/>
    <w:uiPriority w:val="99"/>
    <w:rPr>
      <w:sz w:val="20"/>
    </w:rPr>
  </w:style>
  <w:style w:type="character" w:styleId="937">
    <w:name w:val="endnote reference"/>
    <w:basedOn w:val="782"/>
    <w:uiPriority w:val="99"/>
    <w:semiHidden/>
    <w:unhideWhenUsed/>
    <w:rPr>
      <w:vertAlign w:val="superscript"/>
    </w:rPr>
  </w:style>
  <w:style w:type="paragraph" w:styleId="938">
    <w:name w:val="toc 1"/>
    <w:basedOn w:val="772"/>
    <w:next w:val="772"/>
    <w:uiPriority w:val="39"/>
    <w:unhideWhenUsed/>
    <w:pPr>
      <w:spacing w:after="57"/>
    </w:pPr>
  </w:style>
  <w:style w:type="paragraph" w:styleId="939">
    <w:name w:val="toc 2"/>
    <w:basedOn w:val="772"/>
    <w:next w:val="772"/>
    <w:uiPriority w:val="39"/>
    <w:unhideWhenUsed/>
    <w:pPr>
      <w:ind w:left="283"/>
      <w:spacing w:after="57"/>
    </w:pPr>
  </w:style>
  <w:style w:type="paragraph" w:styleId="940">
    <w:name w:val="toc 3"/>
    <w:basedOn w:val="772"/>
    <w:next w:val="772"/>
    <w:uiPriority w:val="39"/>
    <w:unhideWhenUsed/>
    <w:pPr>
      <w:ind w:left="567"/>
      <w:spacing w:after="57"/>
    </w:pPr>
  </w:style>
  <w:style w:type="paragraph" w:styleId="941">
    <w:name w:val="toc 4"/>
    <w:basedOn w:val="772"/>
    <w:next w:val="772"/>
    <w:uiPriority w:val="39"/>
    <w:unhideWhenUsed/>
    <w:pPr>
      <w:ind w:left="850"/>
      <w:spacing w:after="57"/>
    </w:pPr>
  </w:style>
  <w:style w:type="paragraph" w:styleId="942">
    <w:name w:val="toc 5"/>
    <w:basedOn w:val="772"/>
    <w:next w:val="772"/>
    <w:uiPriority w:val="39"/>
    <w:unhideWhenUsed/>
    <w:pPr>
      <w:ind w:left="1134"/>
      <w:spacing w:after="57"/>
    </w:pPr>
  </w:style>
  <w:style w:type="paragraph" w:styleId="943">
    <w:name w:val="toc 6"/>
    <w:basedOn w:val="772"/>
    <w:next w:val="772"/>
    <w:uiPriority w:val="39"/>
    <w:unhideWhenUsed/>
    <w:pPr>
      <w:ind w:left="1417"/>
      <w:spacing w:after="57"/>
    </w:pPr>
  </w:style>
  <w:style w:type="paragraph" w:styleId="944">
    <w:name w:val="toc 7"/>
    <w:basedOn w:val="772"/>
    <w:next w:val="772"/>
    <w:uiPriority w:val="39"/>
    <w:unhideWhenUsed/>
    <w:pPr>
      <w:ind w:left="1701"/>
      <w:spacing w:after="57"/>
    </w:pPr>
  </w:style>
  <w:style w:type="paragraph" w:styleId="945">
    <w:name w:val="toc 8"/>
    <w:basedOn w:val="772"/>
    <w:next w:val="772"/>
    <w:uiPriority w:val="39"/>
    <w:unhideWhenUsed/>
    <w:pPr>
      <w:ind w:left="1984"/>
      <w:spacing w:after="57"/>
    </w:pPr>
  </w:style>
  <w:style w:type="paragraph" w:styleId="946">
    <w:name w:val="toc 9"/>
    <w:basedOn w:val="772"/>
    <w:next w:val="772"/>
    <w:uiPriority w:val="39"/>
    <w:unhideWhenUsed/>
    <w:pPr>
      <w:ind w:left="2268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772"/>
    <w:next w:val="772"/>
    <w:uiPriority w:val="99"/>
    <w:unhideWhenUsed/>
    <w:pPr>
      <w:spacing w:after="0"/>
    </w:pPr>
  </w:style>
  <w:style w:type="character" w:styleId="949" w:customStyle="1">
    <w:name w:val="Заголовок 2 Знак"/>
    <w:basedOn w:val="782"/>
    <w:link w:val="774"/>
    <w:rPr>
      <w:bCs/>
      <w:sz w:val="28"/>
      <w:szCs w:val="26"/>
      <w:lang w:val="ru-RU" w:eastAsia="en-US" w:bidi="ar-SA"/>
    </w:rPr>
  </w:style>
  <w:style w:type="paragraph" w:styleId="950" w:customStyle="1">
    <w:name w:val="Абзац списка1"/>
    <w:basedOn w:val="772"/>
    <w:pPr>
      <w:contextualSpacing/>
      <w:ind w:left="720"/>
    </w:pPr>
  </w:style>
  <w:style w:type="table" w:styleId="951">
    <w:name w:val="Table Grid"/>
    <w:basedOn w:val="78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2">
    <w:name w:val="footnote text"/>
    <w:basedOn w:val="772"/>
    <w:link w:val="934"/>
    <w:semiHidden/>
    <w:rPr>
      <w:sz w:val="20"/>
      <w:szCs w:val="20"/>
    </w:rPr>
  </w:style>
  <w:style w:type="character" w:styleId="953">
    <w:name w:val="footnote reference"/>
    <w:basedOn w:val="782"/>
    <w:semiHidden/>
    <w:rPr>
      <w:vertAlign w:val="superscript"/>
    </w:rPr>
  </w:style>
  <w:style w:type="paragraph" w:styleId="954">
    <w:name w:val="Footer"/>
    <w:basedOn w:val="772"/>
    <w:link w:val="807"/>
    <w:pPr>
      <w:tabs>
        <w:tab w:val="center" w:pos="4677" w:leader="none"/>
        <w:tab w:val="right" w:pos="9355" w:leader="none"/>
      </w:tabs>
    </w:pPr>
  </w:style>
  <w:style w:type="character" w:styleId="955">
    <w:name w:val="page number"/>
    <w:basedOn w:val="782"/>
  </w:style>
  <w:style w:type="paragraph" w:styleId="956">
    <w:name w:val="Header"/>
    <w:basedOn w:val="772"/>
    <w:link w:val="804"/>
    <w:pPr>
      <w:tabs>
        <w:tab w:val="center" w:pos="4677" w:leader="none"/>
        <w:tab w:val="right" w:pos="9355" w:leader="none"/>
      </w:tabs>
    </w:pPr>
  </w:style>
  <w:style w:type="paragraph" w:styleId="957">
    <w:name w:val="List Bullet"/>
    <w:basedOn w:val="772"/>
    <w:pPr>
      <w:numPr>
        <w:ilvl w:val="0"/>
        <w:numId w:val="12"/>
      </w:numPr>
      <w:contextualSpacing/>
    </w:pPr>
  </w:style>
  <w:style w:type="paragraph" w:styleId="958">
    <w:name w:val="Balloon Text"/>
    <w:basedOn w:val="772"/>
    <w:link w:val="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9" w:customStyle="1">
    <w:name w:val="Текст выноски Знак"/>
    <w:basedOn w:val="782"/>
    <w:link w:val="95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52C81-CCFF-4FC5-8B9C-C67A80EE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Cioko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vsenicheva</dc:creator>
  <cp:revision>118</cp:revision>
  <dcterms:created xsi:type="dcterms:W3CDTF">2020-02-19T11:28:00Z</dcterms:created>
  <dcterms:modified xsi:type="dcterms:W3CDTF">2025-02-13T13:44:42Z</dcterms:modified>
</cp:coreProperties>
</file>